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 et al.</w:t>
      </w:r>
      <w:r>
        <w:t xml:space="preserve"> (Senate Sponsor</w:t>
      </w:r>
      <w:r xml:space="preserve">
        <w:t> </w:t>
      </w:r>
      <w:r>
        <w:t xml:space="preserve">-</w:t>
      </w:r>
      <w:r xml:space="preserve">
        <w:t> </w:t>
      </w:r>
      <w:r>
        <w:t xml:space="preserve">Whitmire)</w:t>
      </w:r>
      <w:r xml:space="preserve">
        <w:tab wTab="150" tlc="none" cTlc="0"/>
      </w:r>
      <w:r>
        <w:t xml:space="preserve">H.B.</w:t>
      </w:r>
      <w:r xml:space="preserve">
        <w:t> </w:t>
      </w:r>
      <w:r>
        <w:t xml:space="preserve">No.</w:t>
      </w:r>
      <w:r xml:space="preserve">
        <w:t> </w:t>
      </w:r>
      <w:r>
        <w:t xml:space="preserve">3553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2023; May</w:t>
      </w:r>
      <w:r xml:space="preserve">
        <w:t> </w:t>
      </w:r>
      <w:r>
        <w:t xml:space="preserve">10,</w:t>
      </w:r>
      <w:r xml:space="preserve">
        <w:t> </w:t>
      </w:r>
      <w:r>
        <w:t xml:space="preserve">2023, read first time and referred to Committee on Criminal Justice; May</w:t>
      </w:r>
      <w:r xml:space="preserve">
        <w:t> </w:t>
      </w:r>
      <w:r>
        <w:t xml:space="preserve">17,</w:t>
      </w:r>
      <w:r xml:space="preserve">
        <w:t> </w:t>
      </w:r>
      <w:r>
        <w:t xml:space="preserve">2023, reported favorably by the following vote:</w:t>
      </w:r>
      <w:r>
        <w:t xml:space="preserve"> </w:t>
      </w:r>
      <w:r>
        <w:t xml:space="preserve"> </w:t>
      </w:r>
      <w:r>
        <w:t xml:space="preserve">Yeas 7,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increasing the criminal penalty for the offense of trafficking of persons if committed at certain locations.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20A.02(b-1), Penal Code, is amended to read as follows:</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school;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institution of higher education or private or independent institution of higher education, as defined by Section 61.003, Education Code;</w:t>
      </w:r>
      <w:r>
        <w:t xml:space="preserve"> </w:t>
      </w:r>
      <w:r>
        <w:t xml:space="preserve">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