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88R13517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 Shaheen, Jetton, Cook</w:t>
      </w:r>
      <w:r xml:space="preserve">
        <w:tab wTab="150" tlc="none" cTlc="0"/>
      </w:r>
      <w:r>
        <w:t xml:space="preserve">H.B.</w:t>
      </w:r>
      <w:r xml:space="preserve">
        <w:t> </w:t>
      </w:r>
      <w:r>
        <w:t xml:space="preserve">No.</w:t>
      </w:r>
      <w:r xml:space="preserve">
        <w:t> </w:t>
      </w:r>
      <w:r>
        <w:t xml:space="preserve">3554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the offense of trafficking of persons if committed at certain locations.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20A.02(b) and (b-1), Penal Code, are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 </w:t>
      </w:r>
      <w:r>
        <w:t xml:space="preserve">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the death of the person who is trafficked;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w:t>
      </w:r>
      <w:r>
        <w:rPr>
          <w:strike/>
        </w:rPr>
        <w:t xml:space="preserv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actor recruited, enticed, or obtained the victim of the offense from a shelter or facility operating as a residential treatment center that serves runaway youth, foster children, the homeless, or persons subjected to human trafficking, domestic violence, or sexual assault</w:t>
      </w:r>
      <w:r>
        <w:t xml:space="preserve">].</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community center offering youth services and programs;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child-care facility, as defined by Section 42.002, Human Resources Code;</w:t>
      </w:r>
      <w:r>
        <w:t xml:space="preserve"> or</w:t>
      </w:r>
    </w:p>
    <w:p w:rsidR="003F3435" w:rsidRDefault="0032493E">
      <w:pPr>
        <w:spacing w:line="480" w:lineRule="auto"/>
        <w:ind w:firstLine="1440"/>
        <w:jc w:val="both"/>
      </w:pPr>
      <w:r>
        <w:t xml:space="preserve">(2)</w:t>
      </w:r>
      <w:r xml:space="preserve">
        <w:t> </w:t>
      </w:r>
      <w:r xml:space="preserve">
        <w:t> </w:t>
      </w:r>
      <w:r>
        <w:t xml:space="preserve">on premises or within 1,000 feet of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