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88R12876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review and approval of international baccalaureate courses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28.009, Education Code, is amended by adding Subsections (a-7) and (a-8)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review any international baccalaureate course offered for compliance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essential knowledge and skills adopted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only offer international baccalaureate courses that comply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essential knowledge and skills adopted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28.051(6),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"International baccalaureate examination"</w:t>
      </w:r>
      <w:r>
        <w:t xml:space="preserve"> </w:t>
      </w:r>
      <w:r>
        <w:t xml:space="preserve">means the international baccalaureate examination administered by the International Baccalaureate Organization </w:t>
      </w:r>
      <w:r>
        <w:rPr>
          <w:u w:val="single"/>
        </w:rPr>
        <w:t xml:space="preserve">for an international baccalaureate course offered in accordance with Section 28.009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