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3559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nonprofit state associations and organizations from providing training, insurance and risk pool contracts, and other professional services to public educational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1.008.</w:t>
      </w:r>
      <w:r>
        <w:rPr>
          <w:u w:val="single"/>
        </w:rPr>
        <w:t xml:space="preserve"> </w:t>
      </w:r>
      <w:r>
        <w:rPr>
          <w:u w:val="single"/>
        </w:rPr>
        <w:t xml:space="preserve"> </w:t>
      </w:r>
      <w:r>
        <w:rPr>
          <w:u w:val="single"/>
        </w:rPr>
        <w:t xml:space="preserve">RESTRICTION ON ENTITIES THAT MAY PROVIDE CERTAIN TRAINING, CONTRACTS, AND SERVICES TO PUBLIC EDUCATIONAL INSTITUTIONS. </w:t>
      </w:r>
      <w:r>
        <w:rPr>
          <w:u w:val="single"/>
        </w:rPr>
        <w:t xml:space="preserve"> </w:t>
      </w:r>
      <w:r>
        <w:rPr>
          <w:u w:val="single"/>
        </w:rPr>
        <w:t xml:space="preserve">A school district may not contract with or distribute public funds to a nonprofit association or organization that employs an individual required to register as a lobbyist under Chapter 305, Government Code,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any training or instruction;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Purchasing insurance products or in order to participate a risk pool;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Procuring any professional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1.008, Education Code, as added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