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88R7895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3564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w:t>
      </w:r>
      <w:r>
        <w:rPr>
          <w:strike/>
        </w:rPr>
        <w:t xml:space="preserve">an appraisal office may increase</w:t>
      </w:r>
      <w:r>
        <w:t xml:space="preserve">] the appraised value of a residence homestead for a tax year </w:t>
      </w:r>
      <w:r>
        <w:rPr>
          <w:u w:val="single"/>
        </w:rPr>
        <w:t xml:space="preserve">is</w:t>
      </w:r>
      <w:r>
        <w:t xml:space="preserve"> [</w:t>
      </w:r>
      <w:r>
        <w:rPr>
          <w:strike/>
        </w:rPr>
        <w:t xml:space="preserve">to an amount not to exceed</w:t>
      </w:r>
      <w:r>
        <w:t xml:space="preserve">]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t xml:space="preserve">[</w:t>
      </w:r>
      <w:r>
        <w:rPr>
          <w:strike/>
        </w:rPr>
        <w:t xml:space="preserve">10 percent of the appraised value of the property for the preceding tax year;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appraised value of the property for the preceding tax year</w:t>
      </w:r>
      <w:r>
        <w:rPr>
          <w:u w:val="single"/>
        </w:rPr>
        <w:t xml:space="preserve">, which is the appraised value of the property for the tax year in which the owner first qualified the property for an exemption under Section 11.13 as that value may have been adjusted as provided by this section</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of a residence homestead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limit the maximum appraised value of a residence homestead for ad valorem tax purposes to the appraised value of the property when it was first qualified as a residence homestead, plus the value of subsequent improvements,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