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88R12928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3569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cost-of-living adjustments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10 times the member's years of service in the retirement system if, as applicable, the effective date of the retirement of the member, the date of death of the member, or the effective date of the election to receive the annuity payment under Section 804.005 was on or before August 31, 2005;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equal to eight times the member's years of service in the retirement system if, as applicable, the effective date of the retirement of the member, the date of death of the member, or the effective date of the election to receive the annuity payment under Section 804.005 was after August 31, 2005, but on or before August 31, 2010;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amount equal to six times the member's years of service in the retirement system if, as applicable, the effective date of the retirement of the member, the date of death of the member, or the effective date of the election to receive the annuity payment under Section 804.005 was after August 31, 2010, but on or before August 31, 2015;</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amount equal to four times the member's years of service in the retirement system if, as applicable, the effective date of the retirement of the member, the date of death of the member, or the effective date of the election to receive the annuity payment under Section 804.005 was after August 31, 2015, but on or before August 31, 2020; 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amount equal to two times the member's years of service in the retirement system if, as applicable, the effective date of the retirement of the member, the date of death of the member, or the effective date of the election to receive the annuity payment under Section 804.005 was after August 31, 2020, but on or before August 31, 2023.</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