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3577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title to a salvage pool operator for certain motor vehicles.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501.0935, Transportation Code, is amended to read as follows:</w:t>
      </w:r>
    </w:p>
    <w:p w:rsidR="003F3435" w:rsidRDefault="0032493E">
      <w:pPr>
        <w:spacing w:line="480" w:lineRule="auto"/>
        <w:ind w:firstLine="720"/>
        <w:jc w:val="both"/>
      </w:pPr>
      <w:r>
        <w:t xml:space="preserve">Sec.</w:t>
      </w:r>
      <w:r xml:space="preserve">
        <w:t> </w:t>
      </w:r>
      <w:r>
        <w:t xml:space="preserve">501.0935.</w:t>
      </w:r>
      <w:r xml:space="preserve">
        <w:t> </w:t>
      </w:r>
      <w:r xml:space="preserve">
        <w:t> </w:t>
      </w:r>
      <w:r>
        <w:t xml:space="preserve">ISSUANCE OF TITLE TO SALVAGE POOL OPERATOR</w:t>
      </w:r>
      <w:r>
        <w:rPr>
          <w:u w:val="single"/>
        </w:rPr>
        <w:t xml:space="preserve">; INSURANCE COMPANIES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501, Transportation Code, is amended by adding Section 501.094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501.094.</w:t>
      </w:r>
      <w:r>
        <w:rPr>
          <w:u w:val="single"/>
        </w:rPr>
        <w:t xml:space="preserve"> </w:t>
      </w:r>
      <w:r>
        <w:rPr>
          <w:u w:val="single"/>
        </w:rPr>
        <w:t xml:space="preserve"> </w:t>
      </w:r>
      <w:r>
        <w:rPr>
          <w:u w:val="single"/>
        </w:rPr>
        <w:t xml:space="preserve">ISSUANCE OF TITLE TO SALVAGE POOL OPERATOR; NONPROFIT ORGANIZATIONS.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"Nonprofit organization" means an organization exempt from federal income taxation under Section 501(c)(3), Internal Revenue Code of 1986, as amended.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"Salvage pool operator" has the meaning assigned by Section 2302.001,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salvage pool operator who, on request of a nonprofit organization, takes possession of a motor vehicle that was donated to the nonprofit and the nonprofit: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possess title to the motor vehicle;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otherwise take ownership of the motor vehicle.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nonprofit organization described by Subsection (b) shall notify the salvage pool operator of the disposition of the motor vehicle and must include in the notice the name and address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who donated the motor vehicle;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previous owner of the motor vehicle;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lienholder, if known.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the 15th day after receiving notice under Subsection (c), a salvage pool operator shall notify the owner of the motor vehicle and any lienholder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owner or lienholder must remove the motor vehicle from the salvage pool operator's possession at the location specified in the notice to the owner and any lienholder not later than the 45th day after the date the notice is mailed;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motor vehicle is not removed within the time specified in the notice, the salvage pool operator will sell the motor vehicle and retain the proceeds of the sale.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salvage pool operator shall provide subsequent notice described by Subsection (d) to the owner of the motor vehicle and any lienholder not later than the 25th and 35th day after receiving notice under Subsection (c) if the motor vehicle was not removed after the preceding notice.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notice required of a salvage pool operator under this section must be sent by registered or  certified mail, return receipt requested.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motor vehicle is not removed from a salvage pool operator's possession before the 46th</w:t>
      </w:r>
      <w:r>
        <w:rPr>
          <w:u w:val="single"/>
        </w:rPr>
        <w:t xml:space="preserve"> day after the date initial notice is mailed to the motor vehicle's owner and any lienholder under Subsection (d), the salvage pool operator may obtain from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salvage vehicle title for a salvage motor vehicle;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nonrepairable vehicle title for a nonrepairable motor vehicle.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application for a title under Subsection (g)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submitted to the department on a form prescribed by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evidence that the notice was mailed as required by Subsections (d) and (e), as applicable, to the motor vehicle owner and any lienholder.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title issued under this section must be issued in the name of the salvage pool operator.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department shall issue the appropriate title to a person authorized to apply for the title under this section if the department determines that the application is complete and complies with applicable law.</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On receipt of a title under this section for a motor vehicle described by Subsection (b), the salvage pool operator may sell the motor vehicle and retain the proceeds of the sale.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