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methods of instruction for the eyelash extension specialist curriculum.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1603.351, Occupations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offering a curriculum for a license under  Section 1603.2103(a)(8) shall determine: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number of hours to be designated as the theory portion, which may be provided through distance education;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number of hours to be designated as the practical portion, which must be provided through in-person instruction.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31, 2023, the Texas Commission of Licensing and Regulation shall adopt rules to implement the changes to Section 1603.351,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the curriculum content requirements for a student who registers to take a curriculum for a license under Section 1603.2103(a)(8)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