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88R11352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3597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money by the Texas opioid abatement fund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403.509,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portion of the money allocated by the council under Subsection (a)(1)(B) shall be allocated to the Texas Department of Criminal Justice for the purpose of providing programming and treatment to prisoners with a history of opioid addiction.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allocation of money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