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et al.</w:t>
      </w:r>
      <w:r xml:space="preserve">
        <w:tab wTab="150" tlc="none" cTlc="0"/>
      </w:r>
      <w:r>
        <w:t xml:space="preserve">H.B.</w:t>
      </w:r>
      <w:r xml:space="preserve">
        <w:t> </w:t>
      </w:r>
      <w:r>
        <w:t xml:space="preserve">No.</w:t>
      </w:r>
      <w:r xml:space="preserve">
        <w:t> </w:t>
      </w:r>
      <w:r>
        <w:t xml:space="preserve">3599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Hinojosa,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9,</w:t>
      </w:r>
      <w:r xml:space="preserve">
        <w:t> </w:t>
      </w:r>
      <w:r>
        <w:t xml:space="preserve">2023; May</w:t>
      </w:r>
      <w:r xml:space="preserve">
        <w:t> </w:t>
      </w:r>
      <w:r>
        <w:t xml:space="preserve">10,</w:t>
      </w:r>
      <w:r xml:space="preserve">
        <w:t> </w:t>
      </w:r>
      <w:r>
        <w:t xml:space="preserve">2023, read first time and referred to Committee on Finance; May</w:t>
      </w:r>
      <w:r xml:space="preserve">
        <w:t> </w:t>
      </w:r>
      <w:r>
        <w:t xml:space="preserve">15,</w:t>
      </w:r>
      <w:r xml:space="preserve">
        <w:t> </w:t>
      </w:r>
      <w:r>
        <w:t xml:space="preserve">2023, reported favorably by the following vote:</w:t>
      </w:r>
      <w:r>
        <w:t xml:space="preserve"> </w:t>
      </w:r>
      <w:r>
        <w:t xml:space="preserve"> </w:t>
      </w:r>
      <w:r>
        <w:t xml:space="preserve">Yeas 16, Nays 1;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certain motor fuel taxes for, and registration fees for motor vehicles owned by, certain nonprofit food banks.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Tax Code, is amended by adding Subdivision (45-a) to read as follows:</w:t>
      </w:r>
    </w:p>
    <w:p w:rsidR="003F3435" w:rsidRDefault="0032493E">
      <w:pPr>
        <w:spacing w:line="480" w:lineRule="auto"/>
        <w:ind w:firstLine="1440"/>
        <w:jc w:val="both"/>
      </w:pPr>
      <w:r>
        <w:rPr>
          <w:u w:val="single"/>
        </w:rPr>
        <w:t xml:space="preserve">(45-a)</w:t>
      </w:r>
      <w:r>
        <w:rPr>
          <w:u w:val="single"/>
        </w:rPr>
        <w:t xml:space="preserve"> </w:t>
      </w:r>
      <w:r>
        <w:rPr>
          <w:u w:val="single"/>
        </w:rPr>
        <w:t xml:space="preserve"> </w:t>
      </w:r>
      <w:r>
        <w:rPr>
          <w:u w:val="single"/>
        </w:rPr>
        <w:t xml:space="preserve">"Nonprofit food bank" means a nonprofit entity that solicits, stores, and redistributes edible food to agencies that feed needy families and individuals.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gasoline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162.125(a),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gasoline and subsequently resells the gasoline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gasoline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gasoline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gasoline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162, Tax Code, is amended by adding Section 162.1276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162.1276.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gasoline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gasoline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diesel fuel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162.227(a),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diesel fuel and subsequently resells the diesel fuel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diesel fuel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diesel fuel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diesel fuel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162, Tax Code, is amended by adding Section 162.2276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162.2276.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diesel fuel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diesel fuel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J, Chapter 502, Transportation Code, is amended by adding Section 502.458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502.458.</w:t>
      </w:r>
      <w:r>
        <w:rPr>
          <w:u w:val="single"/>
        </w:rPr>
        <w:t xml:space="preserve"> </w:t>
      </w:r>
      <w:r>
        <w:rPr>
          <w:u w:val="single"/>
        </w:rPr>
        <w:t xml:space="preserve"> </w:t>
      </w:r>
      <w:r>
        <w:rPr>
          <w:u w:val="single"/>
        </w:rPr>
        <w:t xml:space="preserve">VEHICLES USED BY NONPROFIT FOOD BANKS.  (a) </w:t>
      </w:r>
      <w:r>
        <w:rPr>
          <w:u w:val="single"/>
        </w:rPr>
        <w:t xml:space="preserve"> </w:t>
      </w:r>
      <w:r>
        <w:rPr>
          <w:u w:val="single"/>
        </w:rPr>
        <w:t xml:space="preserve">In this section, "nonprofit food bank" has the meaning assigned by Section 162.001,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 motor vehicle described by Section 162.104(a)(10)(A) or 162.204(a)(16)(A), Tax Code, may apply for registration under Section 502.451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registration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by the owner of the vehicle that the vehicle is used by a nonprofit food bank to deliver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162, Tax Code, as amended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502.458, Transportation Code, as added by this Act, applies only to an application for registration submitted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