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3613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the entire governing body of a municipality following each apportionment.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 Local Government Code, is amended by adding Section 21.006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21.006.</w:t>
      </w:r>
      <w:r>
        <w:rPr>
          <w:u w:val="single"/>
        </w:rPr>
        <w:t xml:space="preserve"> </w:t>
      </w:r>
      <w:r>
        <w:rPr>
          <w:u w:val="single"/>
        </w:rPr>
        <w:t xml:space="preserve"> </w:t>
      </w:r>
      <w:r>
        <w:rPr>
          <w:u w:val="single"/>
        </w:rPr>
        <w:t xml:space="preserve">ELECTION OF ENTIRE GOVERNING BODY UPON APPORTIONMENT.  (a) </w:t>
      </w:r>
      <w:r>
        <w:rPr>
          <w:u w:val="single"/>
        </w:rPr>
        <w:t xml:space="preserve"> </w:t>
      </w:r>
      <w:r>
        <w:rPr>
          <w:u w:val="single"/>
        </w:rPr>
        <w:t xml:space="preserve">A municipality that is divided into districts, wards, or other areas from which members of its governing body are elected shall elect all members of the municipality's governing body following each apportionment on the first uniform election date that allows sufficient time to comply with any requirements of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members of the governing body of a municipality described by Subsection (a) serve staggered terms, the municipality shall adopt an equitable process to determine which members of the governing body serve shorter terms to accommodate an election following apportionment that accounts for the remaining time in each member's term and whether the term of any member elected from a particular district, ward, or area was previously shortened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3613 was passed by the House on May 12, 2023, by the following vote:</w:t>
      </w:r>
      <w:r xml:space="preserve">
        <w:t> </w:t>
      </w:r>
      <w:r xml:space="preserve">
        <w:t> </w:t>
      </w:r>
      <w:r>
        <w:t xml:space="preserve">Yeas 135, Nays 5,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3613 was passed by the Senate on May 24,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