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88R11716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allowing school districts to employ chaplains to perform the duties of school counselors.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33.002, Education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Subsections (b) and (c) or any other law, a school district may employ a chaplain instead of a school counselor to perform the duties required of a school counselor under this title. A chaplain employed under this subsection is not required to be certified by the State Board for Educator Certification.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48.115(b),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Funds allocated under this section must be used to improve school safety and security, including costs associated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securing school facilities,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improvements to school infrastructure;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use or installation of physical barriers;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purchase and maintenance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security cameras or other security equipment;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technology, including communications systems or devices, that facilitates communication and information sharing between students, school personnel, and first responders in an emergency;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providing security for the district,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employing school district peace officers, private security officers, and school marshals;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collaborating with local law enforcement agencies, such as entering into a memorandum of understanding for the assignment of school resource officers to schools in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school safety and security training and planning,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active shooter and emergency response training;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prevention and treatment programs relating to addressing adverse childhood experiences;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prevention, identification, and management of emergencies and threats, using evidence-based, effective prevention practices and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providing licensed counselors, social workers, </w:t>
      </w:r>
      <w:r>
        <w:rPr>
          <w:u w:val="single"/>
        </w:rPr>
        <w:t xml:space="preserve">chaplains,</w:t>
      </w:r>
      <w:r>
        <w:t xml:space="preserve"> and individuals trained in restorative discipline and restorative justice practices;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providing mental health personnel and support</w:t>
      </w:r>
      <w:r>
        <w:rPr>
          <w:u w:val="single"/>
        </w:rPr>
        <w:t xml:space="preserve">, including chaplains</w:t>
      </w:r>
      <w:r>
        <w:t xml:space="preserve">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providing behavioral health services</w:t>
      </w:r>
      <w:r>
        <w:rPr>
          <w:u w:val="single"/>
        </w:rPr>
        <w:t xml:space="preserve">, including services provided by chaplains</w:t>
      </w:r>
      <w:r>
        <w:t xml:space="preserve">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establishing threat reporting systems;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developing and implementing programs focused on restorative justice practices, culturally relevant instruction, and providing mental health support</w:t>
      </w:r>
      <w:r>
        <w:rPr>
          <w:u w:val="single"/>
        </w:rPr>
        <w:t xml:space="preserve">, including support provided by chaplains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providing programs related to suicide prevention, intervention, and postvention</w:t>
      </w:r>
      <w:r>
        <w:rPr>
          <w:u w:val="single"/>
        </w:rPr>
        <w:t xml:space="preserve">, including programs provided by chaplains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Each board of trustees of a school district and each governing body of an open-enrollment charter school shall take a record vote not later than six months after the effective date of this Act on whether to adopt a policy authorizing a campus of the district or school to hire a chaplain under Section 33.002(d), Education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