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of costs for certain mental health hearings or proceedings and a county's entitlement to reimbursement for those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571.018(d) and (i),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county is entitled to reimbursement for costs actually paid by the county from[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 the patient;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a person or estate liable for the patient's support in a department mental health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county may not require a person [</w:t>
      </w:r>
      <w:r>
        <w:rPr>
          <w:strike/>
        </w:rPr>
        <w:t xml:space="preserve">other than the patient</w:t>
      </w:r>
      <w:r>
        <w:t xml:space="preserve">] to pay any costs associated with a hearing or proceeding under this subtitle, including a filing fee or other court costs imposed under Chapter 118, Local Government Code, Chapter 51, Government Code, or other law, unless the county first determines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 the costs relate to services provided or to be provided in a private mental hospital;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the person charged with the costs is a person or estate liable for the patient's support in a department mental health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571.018(h),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cost incurred on or after the effective date of this Act. A cost incurred before the effective date of this Act is governed by the laws in effect at that time,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