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88R21053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memorandum of understanding between public or private primary or secondary schools authorizing a school marshal of one school to act as a school marshal at the other school during an event at which both schools participate.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37.08131.</w:t>
      </w:r>
      <w:r>
        <w:rPr>
          <w:u w:val="single"/>
        </w:rPr>
        <w:t xml:space="preserve"> </w:t>
      </w:r>
      <w:r>
        <w:rPr>
          <w:u w:val="single"/>
        </w:rPr>
        <w:t xml:space="preserve"> </w:t>
      </w:r>
      <w:r>
        <w:rPr>
          <w:u w:val="single"/>
        </w:rPr>
        <w:t xml:space="preserve">MEMORANDUM OF UNDERSTANDING BETWEEN PUBLIC AND PRIVATE SCHOOLS REGARDING SCHOOL MARSHALS. </w:t>
      </w:r>
      <w:r>
        <w:rPr>
          <w:u w:val="single"/>
        </w:rPr>
        <w:t xml:space="preserve"> </w:t>
      </w:r>
      <w:r>
        <w:rPr>
          <w:u w:val="single"/>
        </w:rPr>
        <w:t xml:space="preserve">(a) </w:t>
      </w:r>
      <w:r>
        <w:rPr>
          <w:u w:val="single"/>
        </w:rPr>
        <w:t xml:space="preserve"> </w:t>
      </w:r>
      <w:r>
        <w:rPr>
          <w:u w:val="single"/>
        </w:rPr>
        <w:t xml:space="preserve">In this section, "public or private primary or secondary school"</w:t>
      </w:r>
      <w:r>
        <w:rPr>
          <w:u w:val="single"/>
        </w:rPr>
        <w:t xml:space="preserve"> </w:t>
      </w:r>
      <w:r>
        <w:rPr>
          <w:u w:val="single"/>
        </w:rPr>
        <w:t xml:space="preserve">means a school district, open-enrollment charter school, or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or private primary or secondary school may enter into a memorandum of understanding with another public or private primary or secondary school under which a school marshal appointed to a campus of the school may temporarily act as a school marshal at a campus of the other school for the duration of an event occurring at the campus of the other school at which both schools are participating.  The memorandum of understanding must comply with the requirements for written regulations under Section 37.0811 or 37.0813, as applicable, and may be used to satisfy the requirement for written regulations or written authorization under Section 46.03(a)(1), Penal Code, to allow that school marshal to carry a firearm on the premises of the public or private primary or secondary school at which the event occurs.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