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88R11223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3623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public schools authorizing a school marshal of one school to act as a school marshal at the other school during an event at which both schools participate.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37.0811, Education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or open-enrollment charter school may enter into a memorandum of understanding with another school district or open-enrollment charter school under which a school marshal appointed to a campus of the district or school may temporarily act as a school marshal at a campus of the other district or school for the duration of an event occurring at the campus of the other district or school at which both districts or schools are participating.  The memorandum of understanding must comply with the requirements for written regulations under this section and may be used to satisfy the requirement for written regulations or written authorization under Section 46.03(a)(1), Penal Code, to allow that school marshal to carry a firearm on the premises of the district or school at which the event occurs.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