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w:t xml:space="preserve"> (Senate Sponsor</w:t>
      </w:r>
      <w:r xml:space="preserve">
        <w:t> </w:t>
      </w:r>
      <w:r>
        <w:t xml:space="preserve">-</w:t>
      </w:r>
      <w:r xml:space="preserve">
        <w:t> </w:t>
      </w:r>
      <w:r>
        <w:t xml:space="preserve">Middleton)</w:t>
      </w:r>
      <w:r xml:space="preserve">
        <w:tab wTab="150" tlc="none" cTlc="0"/>
      </w:r>
      <w:r>
        <w:t xml:space="preserve">H.B.</w:t>
      </w:r>
      <w:r xml:space="preserve">
        <w:t> </w:t>
      </w:r>
      <w:r>
        <w:t xml:space="preserve">No.</w:t>
      </w:r>
      <w:r xml:space="preserve">
        <w:t> </w:t>
      </w:r>
      <w:r>
        <w:t xml:space="preserve">3623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10,</w:t>
      </w:r>
      <w:r xml:space="preserve">
        <w:t> </w:t>
      </w:r>
      <w:r>
        <w:t xml:space="preserve">2023, read first time and referred to Committee on Education; May</w:t>
      </w:r>
      <w:r xml:space="preserve">
        <w:t> </w:t>
      </w:r>
      <w:r>
        <w:t xml:space="preserve">18,</w:t>
      </w:r>
      <w:r xml:space="preserve">
        <w:t> </w:t>
      </w:r>
      <w:r>
        <w:t xml:space="preserve">2023, reported favorably by the following vote:</w:t>
      </w:r>
      <w:r>
        <w:t xml:space="preserve"> </w:t>
      </w:r>
      <w:r>
        <w:t xml:space="preserve"> </w:t>
      </w:r>
      <w:r>
        <w:t xml:space="preserve">Yeas 13,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memorandum of understanding between public or private primary or secondary schools authorizing a school marshal of one school to act as a school marshal at the other school during an event at which both schools participate.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37.08131.</w:t>
      </w:r>
      <w:r>
        <w:rPr>
          <w:u w:val="single"/>
        </w:rPr>
        <w:t xml:space="preserve"> </w:t>
      </w:r>
      <w:r>
        <w:rPr>
          <w:u w:val="single"/>
        </w:rPr>
        <w:t xml:space="preserve"> </w:t>
      </w:r>
      <w:r>
        <w:rPr>
          <w:u w:val="single"/>
        </w:rPr>
        <w:t xml:space="preserve">MEMORANDUM OF UNDERSTANDING BETWEEN PUBLIC AND PRIVATE SCHOOLS REGARDING SCHOOL MARSHALS. </w:t>
      </w:r>
      <w:r>
        <w:rPr>
          <w:u w:val="single"/>
        </w:rPr>
        <w:t xml:space="preserve"> </w:t>
      </w:r>
      <w:r>
        <w:rPr>
          <w:u w:val="single"/>
        </w:rPr>
        <w:t xml:space="preserve">(a) </w:t>
      </w:r>
      <w:r>
        <w:rPr>
          <w:u w:val="single"/>
        </w:rPr>
        <w:t xml:space="preserve"> </w:t>
      </w:r>
      <w:r>
        <w:rPr>
          <w:u w:val="single"/>
        </w:rPr>
        <w:t xml:space="preserve">In this section, "public or private primary or secondary school"</w:t>
      </w:r>
      <w:r>
        <w:rPr>
          <w:u w:val="single"/>
        </w:rPr>
        <w:t xml:space="preserve"> </w:t>
      </w:r>
      <w:r>
        <w:rPr>
          <w:u w:val="single"/>
        </w:rPr>
        <w:t xml:space="preserve">means a school district, open-enrollment charter school, or private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or private primary or secondary school may enter into a memorandum of understanding with another public or private primary or secondary school under which a school marshal appointed to a campus of the school may temporarily act as a school marshal at a campus of the other school for the duration of an event occurring at the campus of the other school at which both schools are participating.  The memorandum of understanding must comply with the requirements for written regulations under Section 37.0811 or 37.0813, as applicable, and may be used to satisfy the requirement for written regulations or written authorization under Section 46.03(a)(1), Penal Code, to allow that school marshal to carry a firearm on the premises of the public or private primary or secondary school at which the event occurs.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