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88R11065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notice requirements for a leased dwelling located in a floodplain.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92.0135, Property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(b-1), a</w:t>
      </w:r>
      <w:r xml:space="preserve">
        <w:t> </w:t>
      </w:r>
      <w:r>
        <w:t xml:space="preserve">[</w:t>
      </w:r>
      <w:r>
        <w:rPr>
          <w:strike/>
        </w:rPr>
        <w:t xml:space="preserve">A</w:t>
      </w:r>
      <w:r>
        <w:t xml:space="preserve">] landlord shall provide to a tenant a written notice substantially equivalent to the following:</w:t>
      </w:r>
    </w:p>
    <w:p w:rsidR="003F3435" w:rsidRDefault="0032493E">
      <w:pPr>
        <w:spacing w:line="480" w:lineRule="auto"/>
        <w:ind w:firstLine="720"/>
        <w:jc w:val="both"/>
      </w:pPr>
      <w:r>
        <w:t xml:space="preserve">"(Landlord) ( ) is or ( ) is not aware that the dwelling you are renting is located in a 100-year floodplain. </w:t>
      </w:r>
      <w:r>
        <w:t xml:space="preserve"> </w:t>
      </w:r>
      <w:r>
        <w:t xml:space="preserve">If neither box is checked, you should assume the dwelling is in a 100-year floodplain. </w:t>
      </w:r>
      <w:r>
        <w:t xml:space="preserve"> </w:t>
      </w:r>
      <w:r>
        <w:t xml:space="preserve">Even if the dwelling is not in a 100-year floodplain, the dwelling may still be susceptible to flooding. </w:t>
      </w:r>
      <w:r>
        <w:t xml:space="preserve"> </w:t>
      </w:r>
      <w:r>
        <w:t xml:space="preserve">The Federal Emergency Management Agency (FEMA) maintains a flood map on its Internet website that is searchable by address, at no cost, to determine if a dwelling is located in a flood hazard area. </w:t>
      </w:r>
      <w:r>
        <w:t xml:space="preserve"> </w:t>
      </w:r>
      <w:r>
        <w:t xml:space="preserve">Most tenant insurance policies do not cover damages or loss incurred in a flood. </w:t>
      </w:r>
      <w:r>
        <w:t xml:space="preserve"> </w:t>
      </w:r>
      <w:r>
        <w:t xml:space="preserve">You should seek insurance coverage that would cover losses caused by a flood."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under Subsection (b) is not required for a tenant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lease with a term of less than 30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temporary residential tenancy created by a contract for sale in which the buyer occupies the property before closing or the seller occupies the property after closing for a specific term not greater than 90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92.0135(b-1), Property Code, as added by this Act, applies only to a lease agreement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