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3625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5,</w:t>
      </w:r>
      <w:r xml:space="preserve">
        <w:t> </w:t>
      </w:r>
      <w:r>
        <w:t xml:space="preserve">2023; May</w:t>
      </w:r>
      <w:r xml:space="preserve">
        <w:t> </w:t>
      </w:r>
      <w:r>
        <w:t xml:space="preserve">10,</w:t>
      </w:r>
      <w:r xml:space="preserve">
        <w:t> </w:t>
      </w:r>
      <w:r>
        <w:t xml:space="preserve">2023, read first time and referred to Committee on Business &amp; Commerce;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3625</w:t>
      </w:r>
      <w:r xml:space="preserve">
        <w:tab wTab="150" tlc="none" cTlc="0"/>
      </w:r>
      <w:r>
        <w:t xml:space="preserve">By:</w:t>
      </w:r>
      <w:r xml:space="preserve">
        <w:t> </w:t>
      </w:r>
      <w:r xml:space="preserve">
        <w:t> </w:t>
      </w:r>
      <w:r>
        <w:t xml:space="preserve">Creighton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notice requirements for a leased dwelling located in a floodplain.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92.0135, Property Code, is amended by adding Subsection (a-1) and amending Subsection (e)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Notices under Subsections (b) and (d) are not required for a tenant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lease with a term of less than 30 days;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temporary residential tenancy created by a contract for sale in which the buyer occupies the property before closing or the seller occupies the property after closing for a specific term not greater than 90 days.</w:t>
      </w:r>
    </w:p>
    <w:p w:rsidR="003F3435" w:rsidRDefault="0032493E">
      <w:pPr>
        <w:spacing w:line="480" w:lineRule="auto"/>
        <w:ind w:firstLine="720"/>
        <w:jc w:val="both"/>
      </w:pPr>
      <w:r>
        <w:t xml:space="preserve">(e)</w:t>
      </w:r>
      <w:r xml:space="preserve">
        <w:t> </w:t>
      </w:r>
      <w:r xml:space="preserve">
        <w:t> </w:t>
      </w:r>
      <w:r>
        <w:t xml:space="preserve">The notices required by Subsections (b) and (d) must be included </w:t>
      </w:r>
      <w:r>
        <w:rPr>
          <w:u w:val="single"/>
        </w:rPr>
        <w:t xml:space="preserve">in a paragraph of the lease, as an addendum to the lease, or</w:t>
      </w:r>
      <w:r>
        <w:t xml:space="preserve"> in a separate written document given to the tenant at or before execution of the lease. </w:t>
      </w:r>
      <w:r>
        <w:rPr>
          <w:u w:val="single"/>
        </w:rPr>
        <w:t xml:space="preserve">The landlord and tenant must sign the document containing a required notice to evidence the provision and receipt of the notice.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92.0135(a-1), Property Code, as added by this Act, and Section 92.0135(e), Property Code, as amended by this Act, apply only to a lease agreement entered into or renewed on or after the effective date of this Act.  A lease agreement entered into or renewed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3625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