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88R13173 DIO-D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H.B.</w:t>
      </w:r>
      <w:r xml:space="preserve">
        <w:t> </w:t>
      </w:r>
      <w:r>
        <w:t xml:space="preserve">No.</w:t>
      </w:r>
      <w:r xml:space="preserve">
        <w:t> </w:t>
      </w:r>
      <w:r>
        <w:t xml:space="preserve">3637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equitable distribution of involuntary load shedding events.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38.076(c), Utilities Code, is amended to read as follows:</w:t>
      </w:r>
    </w:p>
    <w:p w:rsidR="003F3435" w:rsidRDefault="0032493E">
      <w:pPr>
        <w:spacing w:line="480" w:lineRule="auto"/>
        <w:ind w:firstLine="720"/>
        <w:jc w:val="both"/>
      </w:pPr>
      <w:r>
        <w:t xml:space="preserve">(c)</w:t>
      </w:r>
      <w:r xml:space="preserve">
        <w:t> </w:t>
      </w:r>
      <w:r xml:space="preserve">
        <w:t> </w:t>
      </w:r>
      <w:r>
        <w:t xml:space="preserve">The commission by rule shall:</w:t>
      </w:r>
    </w:p>
    <w:p w:rsidR="003F3435" w:rsidRDefault="0032493E">
      <w:pPr>
        <w:spacing w:line="480" w:lineRule="auto"/>
        <w:ind w:firstLine="1440"/>
        <w:jc w:val="both"/>
      </w:pPr>
      <w:r>
        <w:t xml:space="preserve">(1)</w:t>
      </w:r>
      <w:r xml:space="preserve">
        <w:t> </w:t>
      </w:r>
      <w:r xml:space="preserve">
        <w:t> </w:t>
      </w:r>
      <w:r>
        <w:t xml:space="preserve">categorize types of critical load that may be given the highest priority for power restoration; and</w:t>
      </w:r>
    </w:p>
    <w:p w:rsidR="003F3435" w:rsidRDefault="0032493E">
      <w:pPr>
        <w:spacing w:line="480" w:lineRule="auto"/>
        <w:ind w:firstLine="1440"/>
        <w:jc w:val="both"/>
      </w:pPr>
      <w:r>
        <w:t xml:space="preserve">(2)</w:t>
      </w:r>
      <w:r xml:space="preserve">
        <w:t> </w:t>
      </w:r>
      <w:r xml:space="preserve">
        <w:t> </w:t>
      </w:r>
      <w:r>
        <w:t xml:space="preserve">require electric cooperatives, municipally owned utilities, and transmission and distribution utilities providing transmission service in the ERCOT power region to submit to </w:t>
      </w:r>
      <w:r>
        <w:rPr>
          <w:u w:val="single"/>
        </w:rPr>
        <w:t xml:space="preserve">each county and municipality in which the cooperative or utility provides service,</w:t>
      </w:r>
      <w:r>
        <w:t xml:space="preserve"> the commission</w:t>
      </w:r>
      <w:r>
        <w:rPr>
          <w:u w:val="single"/>
        </w:rPr>
        <w:t xml:space="preserve">,</w:t>
      </w:r>
      <w:r>
        <w:t xml:space="preserve"> and the independent organization certified under Section 39.151 for the region:</w:t>
      </w:r>
    </w:p>
    <w:p w:rsidR="003F3435" w:rsidRDefault="0032493E">
      <w:pPr>
        <w:spacing w:line="480" w:lineRule="auto"/>
        <w:ind w:firstLine="2160"/>
        <w:jc w:val="both"/>
      </w:pPr>
      <w:r>
        <w:t xml:space="preserve">(A)</w:t>
      </w:r>
      <w:r xml:space="preserve">
        <w:t> </w:t>
      </w:r>
      <w:r xml:space="preserve">
        <w:t> </w:t>
      </w:r>
      <w:r>
        <w:t xml:space="preserve">customers or circuits the cooperative or utility has designated as critical load; and</w:t>
      </w:r>
    </w:p>
    <w:p w:rsidR="003F3435" w:rsidRDefault="0032493E">
      <w:pPr>
        <w:spacing w:line="480" w:lineRule="auto"/>
        <w:ind w:firstLine="2160"/>
        <w:jc w:val="both"/>
      </w:pPr>
      <w:r>
        <w:t xml:space="preserve">(B)</w:t>
      </w:r>
      <w:r xml:space="preserve">
        <w:t> </w:t>
      </w:r>
      <w:r xml:space="preserve">
        <w:t> </w:t>
      </w:r>
      <w:r>
        <w:t xml:space="preserve">a plan for participating in load shedding in response to an involuntary load shedding event described  by Subsection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38, Utilities Code, is amended by adding Sections 38.078 and 38.079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38.078.</w:t>
      </w:r>
      <w:r>
        <w:rPr>
          <w:u w:val="single"/>
        </w:rPr>
        <w:t xml:space="preserve"> </w:t>
      </w:r>
      <w:r>
        <w:rPr>
          <w:u w:val="single"/>
        </w:rPr>
        <w:t xml:space="preserve"> </w:t>
      </w:r>
      <w:r>
        <w:rPr>
          <w:u w:val="single"/>
        </w:rPr>
        <w:t xml:space="preserve">UPGRADES TO DISTRIBUTION SYSTEM.  (a) Each transmission and distribution utility, municipally owned utility, and electric cooperative shall make upgrades to the distribution system operated by the utility or cooperative for the purpose of more evenly distributing involuntary load shedding.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transmission and distribution utility, municipally owned utility, or electric cooperative may recover reasonable and necessary costs incurred in making upgrades to the distribution system operated by the utility or cooperative.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transmission and distribution utility, municipally owned utility, and electric cooperative shall make a plan for using advanced metering technology, software, equipment, and other upgrades to a distribution system to deploy involuntary load shedding.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plan developed under Subsection (c) may include use of both advanced metering technology and distribution feeders.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38.079.</w:t>
      </w:r>
      <w:r>
        <w:rPr>
          <w:u w:val="single"/>
        </w:rPr>
        <w:t xml:space="preserve"> </w:t>
      </w:r>
      <w:r>
        <w:rPr>
          <w:u w:val="single"/>
        </w:rPr>
        <w:t xml:space="preserve"> </w:t>
      </w:r>
      <w:r>
        <w:rPr>
          <w:u w:val="single"/>
        </w:rPr>
        <w:t xml:space="preserve">CRITICAL LOAD DESIGNATION.  (a) </w:t>
      </w:r>
      <w:r>
        <w:rPr>
          <w:u w:val="single"/>
        </w:rPr>
        <w:t xml:space="preserve"> </w:t>
      </w:r>
      <w:r>
        <w:rPr>
          <w:u w:val="single"/>
        </w:rPr>
        <w:t xml:space="preserve">The commission by rule shall require electric cooperatives, municipally owned utilities, and transmission and distribution utilities to designate the following types of facilities as critical load public safety customers, as defined by commission rule: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long-term care facilities;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food pantries;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homeless shelters;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temporary shelters identified by the county;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critical telecommunications facilities;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critical water or wastewater facilities, as defined by Section 418.0425, Government Code;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hospital facilities licensed under Chapter 241,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allow a county to designate a critical load public safety customer, as defined by commission rule.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In this section, the term "transmission and distribution utility" has the meaning assigned by Section 31.002, Utilities Code.</w:t>
      </w:r>
    </w:p>
    <w:p w:rsidR="003F3435" w:rsidRDefault="0032493E">
      <w:pPr>
        <w:spacing w:line="480" w:lineRule="auto"/>
        <w:ind w:firstLine="720"/>
        <w:jc w:val="both"/>
      </w:pPr>
      <w:r>
        <w:t xml:space="preserve">(b)</w:t>
      </w:r>
      <w:r xml:space="preserve">
        <w:t> </w:t>
      </w:r>
      <w:r xml:space="preserve">
        <w:t> </w:t>
      </w:r>
      <w:r>
        <w:t xml:space="preserve">Not later than September 1, 2024, the Public Utility Commission of Texas shall adopt rules as necessary to implement the changes in law made by this Act.</w:t>
      </w:r>
    </w:p>
    <w:p w:rsidR="003F3435" w:rsidRDefault="0032493E">
      <w:pPr>
        <w:spacing w:line="480" w:lineRule="auto"/>
        <w:ind w:firstLine="720"/>
        <w:jc w:val="both"/>
      </w:pPr>
      <w:r>
        <w:t xml:space="preserve">(c)</w:t>
      </w:r>
      <w:r xml:space="preserve">
        <w:t> </w:t>
      </w:r>
      <w:r xml:space="preserve">
        <w:t> </w:t>
      </w:r>
      <w:r>
        <w:t xml:space="preserve">A transmission and distribution utility, municipally owned utility, or electric cooperative shall implement Section 38.078, Utilities Code, as added by this Act, not later than September 1, 2027.</w:t>
      </w:r>
    </w:p>
    <w:p w:rsidR="003F3435" w:rsidRDefault="0032493E">
      <w:pPr>
        <w:spacing w:line="480" w:lineRule="auto"/>
        <w:ind w:firstLine="720"/>
        <w:jc w:val="both"/>
      </w:pPr>
      <w:r>
        <w:t xml:space="preserve">(d)</w:t>
      </w:r>
      <w:r xml:space="preserve">
        <w:t> </w:t>
      </w:r>
      <w:r xml:space="preserve">
        <w:t> </w:t>
      </w:r>
      <w:r>
        <w:t xml:space="preserve">The Public Utility Commission of Texas may extend the deadline under Subsection (c) of this section by not more than one year, on a case-by-case basis.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