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88R24415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Harris, Lozano, Rose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3639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active shooter response training for peace officers, including school district peace officers and school resource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37.0812(a),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peace officer or school resource officer shall complete an active shooter response training program approved by the Texas Commission on Law Enforcement </w:t>
      </w:r>
      <w:r>
        <w:rPr>
          <w:u w:val="single"/>
        </w:rPr>
        <w:t xml:space="preserve">as required under Section 1701.271, Occupations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1701, Occupations Code, is amended by adding Section 1701.271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1701.271.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ACTIVE SHOOTER RESPONSE TRAINING PROGRAM.  (a) The commission shall approve a training program on appropriate and effective law enforcement responses to an active shooter situation.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commission, by rule, shall require each peace officer to complete a course approved under Subsection (a) at least once in each four-year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3639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