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88R20680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 Raymond, Thierry, Klick</w:t>
      </w:r>
      <w:r xml:space="preserve">
        <w:tab wTab="150" tlc="none" cTlc="0"/>
      </w:r>
      <w:r>
        <w:t xml:space="preserve">H.B.</w:t>
      </w:r>
      <w:r xml:space="preserve">
        <w:t> </w:t>
      </w:r>
      <w:r>
        <w:t xml:space="preserve">No.</w:t>
      </w:r>
      <w:r xml:space="preserve">
        <w:t> </w:t>
      </w:r>
      <w:r>
        <w:t xml:space="preserve">3640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3640:</w:t>
      </w:r>
    </w:p>
    <w:p w:rsidR="003F3435" w:rsidRDefault="0032493E">
      <w:pPr>
        <w:spacing w:line="480" w:lineRule="auto"/>
        <w:jc w:val="both"/>
        <w:tabs>
          <w:tab w:val="right" w:leader="none" w:pos="9350"/>
        </w:tabs>
      </w:pPr>
      <w:r>
        <w:t xml:space="preserve">By:</w:t>
      </w:r>
      <w:r xml:space="preserve">
        <w:t> </w:t>
      </w:r>
      <w:r xml:space="preserve">
        <w:t> </w:t>
      </w:r>
      <w:r>
        <w:t xml:space="preserve">Shine</w:t>
      </w:r>
      <w:r xml:space="preserve">
        <w:tab wTab="150" tlc="none" cTlc="0"/>
      </w:r>
      <w:r>
        <w:t xml:space="preserve">C.S.H.B.</w:t>
      </w:r>
      <w:r xml:space="preserve">
        <w:t> </w:t>
      </w:r>
      <w:r>
        <w:t xml:space="preserve">No.</w:t>
      </w:r>
      <w:r xml:space="preserve">
        <w:t> </w:t>
      </w:r>
      <w:r>
        <w:t xml:space="preserve">3640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a portion of the appraised value of a property other than a residence homestead that is the primary residence of an adult who has an intellectual or developmental disability and who must be related to the owner or trustee of the property within a certain degree by consanguinity.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11.36.</w:t>
      </w:r>
      <w:r>
        <w:rPr>
          <w:u w:val="single"/>
        </w:rPr>
        <w:t xml:space="preserve"> </w:t>
      </w:r>
      <w:r>
        <w:rPr>
          <w:u w:val="single"/>
        </w:rPr>
        <w:t xml:space="preserve"> </w:t>
      </w:r>
      <w:r>
        <w:rPr>
          <w:u w:val="single"/>
        </w:rPr>
        <w:t xml:space="preserve">RESIDENCE OF ADULT WITH INTELLECTUAL OR DEVELOPMENTAL DISABILITY.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"Developmental disability" has the meaning assigned by Section 112.042,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"Intellectual disability" has the meaning assigned by Section 591.003,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real property that qualifies for an exemption under Section 11.13 as a person's residence homestead.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entitled to an exemption from taxation of a portion equal to the amount of the exemption prescribed by Section 11.13(b) of the appraised value of the real property the person owns that is the primary residence of an adult who has an intellectual or developmental disability and who must be related to the owner or trustee of the property within the third degree by consanguinity.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11.43(c),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provided by Section 11.13, 11.131, 11.132, 11.133, 11.134, 11.17, 11.18, 11.182, 11.1827, 11.183, 11.19, 11.20, 11.21, 11.22, 11.23(a), (h), (j), (j-1), or (m), 11.231, 11.254, 11.27, 11.271, 11.29, 11.30, 11.31, 11.315, [</w:t>
      </w:r>
      <w:r>
        <w:rPr>
          <w:strike/>
        </w:rPr>
        <w:t xml:space="preserve">or</w:t>
      </w:r>
      <w:r>
        <w:t xml:space="preserve">] 11.35, </w:t>
      </w:r>
      <w:r>
        <w:rPr>
          <w:u w:val="single"/>
        </w:rPr>
        <w:t xml:space="preserve">or 11.36,</w:t>
      </w:r>
      <w:r>
        <w:t xml:space="preserve"> once allowed, need not be claimed in subsequent years, and except as otherwise provided by Subsection (e), the exemption applies to the property until it changes ownership or the person's qualification for the exemption changes.  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  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only to ad valorem taxes imposed for a tax year that begins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 but only if the constitutional amendment proposed by the 88th Legislature, Regular Session, 2023, authorizing the legislature to provide for an exemption from ad valorem taxation of a portion of the market value of a property that is the primary residence of an adult who has an intellectual or developmental disability and who must be related to the owner or trustee of the property within a certain degree by consanguinity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3640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