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regulations regarding commercial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522.003(5), Transportation Code, is amended to read as follows:</w:t>
      </w:r>
    </w:p>
    <w:p w:rsidR="003F3435" w:rsidRDefault="0032493E">
      <w:pPr>
        <w:spacing w:line="480" w:lineRule="auto"/>
        <w:ind w:firstLine="1440"/>
        <w:jc w:val="both"/>
      </w:pPr>
      <w:r>
        <w:t xml:space="preserve">(5)</w:t>
      </w:r>
      <w:r xml:space="preserve">
        <w:t> </w:t>
      </w:r>
      <w:r xml:space="preserve">
        <w:t> </w:t>
      </w:r>
      <w:r>
        <w:t xml:space="preserve">"Commercial motor vehicle" </w:t>
      </w:r>
      <w:r>
        <w:rPr>
          <w:u w:val="single"/>
        </w:rPr>
        <w:t xml:space="preserve">has the meaning assigned by 49 C.F.R. Section 383.5</w:t>
      </w:r>
      <w:r>
        <w:t xml:space="preserve"> [</w:t>
      </w:r>
      <w:r>
        <w:rPr>
          <w:strike/>
        </w:rPr>
        <w:t xml:space="preserve">means a motor vehicle or combination of motor vehicles used to transport passengers or property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gross combination weight or a gross combination weight rating of 26,001 or more pounds, including a towed unit with a gross vehicle weight or a gross vehicle weight rating of more than 10,000 pounds;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a gross vehicle weight or a gross vehicle weight rating of 26,001 or more pounds;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is designed to transport 16 or more passengers, including the driver;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is transporting hazardous materials and is required to be placarded under 49 C.F.R. Part 172, Subpart F</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522.021(a-1),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Form I-94 Arrival/Departure record or a successor document [</w:t>
      </w:r>
      <w:r>
        <w:rPr>
          <w:strike/>
        </w:rPr>
        <w:t xml:space="preserve">;</w:t>
      </w:r>
      <w:r>
        <w:t xml:space="preserv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522.0225.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522.0235, Transportation Code, is amended to read as follows:</w:t>
      </w:r>
    </w:p>
    <w:p w:rsidR="003F3435" w:rsidRDefault="0032493E">
      <w:pPr>
        <w:spacing w:line="480" w:lineRule="auto"/>
        <w:ind w:firstLine="720"/>
        <w:jc w:val="both"/>
      </w:pPr>
      <w:r>
        <w:t xml:space="preserve">Sec.</w:t>
      </w:r>
      <w:r xml:space="preserve">
        <w:t> </w:t>
      </w:r>
      <w:r>
        <w:t xml:space="preserve">522.0235.</w:t>
      </w:r>
      <w:r xml:space="preserve">
        <w:t> </w:t>
      </w:r>
      <w:r xml:space="preserve">
        <w:t> </w:t>
      </w:r>
      <w:r>
        <w:rPr>
          <w:u w:val="single"/>
        </w:rPr>
        <w:t xml:space="preserve">ALTERNATIVE</w:t>
      </w:r>
      <w:r>
        <w:t xml:space="preserve"> [</w:t>
      </w:r>
      <w:r>
        <w:rPr>
          <w:strike/>
        </w:rPr>
        <w:t xml:space="preserve">WAIVER OF</w:t>
      </w:r>
      <w:r>
        <w:t xml:space="preserve">] VISUAL STANDARDS FOR INTRASTATE DRIVER.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522.0235(a),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department by rule may </w:t>
      </w:r>
      <w:r>
        <w:rPr>
          <w:u w:val="single"/>
        </w:rPr>
        <w:t xml:space="preserve">use the alternative visual acuity standard prescribed by 49 C.F.R. Section 391.44 if an individual does not meet</w:t>
      </w:r>
      <w:r>
        <w:t xml:space="preserve"> [</w:t>
      </w:r>
      <w:r>
        <w:rPr>
          <w:strike/>
        </w:rPr>
        <w:t xml:space="preserve">provide for a waiver of</w:t>
      </w:r>
      <w:r>
        <w:t xml:space="preserve">] the visual </w:t>
      </w:r>
      <w:r>
        <w:rPr>
          <w:u w:val="single"/>
        </w:rPr>
        <w:t xml:space="preserve">acuity standard</w:t>
      </w:r>
      <w:r>
        <w:t xml:space="preserve"> [</w:t>
      </w:r>
      <w:r>
        <w:rPr>
          <w:strike/>
        </w:rPr>
        <w:t xml:space="preserve">standards</w:t>
      </w:r>
      <w:r>
        <w:t xml:space="preserve">] for a commercial driver's license </w:t>
      </w:r>
      <w:r>
        <w:rPr>
          <w:u w:val="single"/>
        </w:rPr>
        <w:t xml:space="preserve">prescribed by</w:t>
      </w:r>
      <w:r>
        <w:t xml:space="preserve"> [</w:t>
      </w:r>
      <w:r>
        <w:rPr>
          <w:strike/>
        </w:rPr>
        <w:t xml:space="preserve">in</w:t>
      </w:r>
      <w:r>
        <w:t xml:space="preserve">] 49 C.F.R. </w:t>
      </w:r>
      <w:r>
        <w:rPr>
          <w:u w:val="single"/>
        </w:rPr>
        <w:t xml:space="preserve">Section 391.41</w:t>
      </w:r>
      <w:r>
        <w:t xml:space="preserve"> [</w:t>
      </w:r>
      <w:r>
        <w:rPr>
          <w:strike/>
        </w:rPr>
        <w:t xml:space="preserve">Part 391, Subpart E,</w:t>
      </w:r>
      <w:r>
        <w:t xml:space="preserve">]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application for a commercial driver's license submitted on or after the effective date of this Act. </w:t>
      </w:r>
      <w:r>
        <w:t xml:space="preserve"> </w:t>
      </w:r>
      <w:r>
        <w:t xml:space="preserve">An application for a commercial driver's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3646 was passed by the House on May 2, 2023, by the following vote:</w:t>
      </w:r>
      <w:r xml:space="preserve">
        <w:t> </w:t>
      </w:r>
      <w:r xml:space="preserve">
        <w:t> </w:t>
      </w:r>
      <w:r>
        <w:t xml:space="preserve">Yeas 138, Nays 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3646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