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88R14402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by the Department of Public Safety of administrative and civil consequences for certain criminal convictions.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521.042, Transportation Code, is amended by adding Subsections (f)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(g), the department may not consider a record of a conviction of a license holder that is received by the department after the first anniversary of the date of the conviction in a decision to impose an enforcement action against the license holder, including a decision to suspend, revoke, or deny renewal of the license holder's driver's license.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consider a record of a conviction of a license holder that is received by the department after the first anniversary of the date of the conviction in a decision to impose an enforcement action against the license holder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holder: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commercial driver's license holder or was a commercial driver's license holder at the time of the offense;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commercial motor vehicle at the time of the offense;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motor vehicle and transporting a hazardous material at the time of the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conviction is for an offense under Chapter 49,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