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LaMantia)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25,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imposition by the Department of Public Safety of administrative and civil consequences for certain criminal convictions.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521.042, Transportation Code, is amended by adding Subsections (f)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(g), the department may not consider a record of a conviction of a license holder that is received by the department after the first anniversary of the date of the conviction in a decision to impose an enforcement action against the license holder, including a decision to suspend, revoke, or deny renewal of the license holder's driver's license.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consider a record of a conviction of a license holder that is received by the department after the first anniversary of the date of the conviction in a decision to impose an enforcement action against the license holder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holder: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commercial driver's license holder or was a commercial driver's license holder at the time of the offense;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commercial motor vehicle at the time of the offense;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motor vehicle and transporting a hazardous material at the time of the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conviction is for an offense under Chapter 49,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