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taxation of border security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 Tax Code, is amended by adding Sec.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BORDER SECURITY INFRASTRUCTURE.  (a)  A person is entitled to an exemption from taxation of the amount of appraised value of real property owned by the person that arises from the installation or construction on the property of border security infrastructure.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is entitled to an exemption from taxation of the appraised value of border security infrastructure that is installed or constructed on real property owned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land that the person owns and that has been dedicated by recorded easement dedicating said land for the installation or construction of border security infrastructure.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exemption granted under this section terminates when the property ceases to have border security infrastructure installed or constructed on it, or when the property is no longer used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with the assistance of the Texas Facilities Commission, or its successor, shall develop guidelines to assist local officials in the administration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"border security infrastructure" means a wall, barrier, fence, wire, road, trench, technology, an apparatus, or an improvement designed or adapted to surveil or impede the movement of persons or objects crossing the Texas-Mexico border outside of land ports of entry and permanently or temporarily affixed by agreement with the government of the State of Texas or the government of the United States of America to property above or below ground located in a county bordering the United Mexican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 Tax Code, is amended by amending Subsection (c) to read as follows:</w:t>
      </w:r>
    </w:p>
    <w:p w:rsidR="003F3435" w:rsidRDefault="0032493E">
      <w:pPr>
        <w:spacing w:line="480" w:lineRule="auto"/>
        <w:ind w:firstLine="720"/>
        <w:jc w:val="both"/>
      </w:pPr>
      <w:r>
        <w:t xml:space="preserve">Sec.</w:t>
      </w:r>
      <w:r xml:space="preserve">
        <w:t> </w:t>
      </w:r>
      <w:r>
        <w:t xml:space="preserve">11.43.</w:t>
      </w:r>
      <w:r xml:space="preserve">
        <w:t> </w:t>
      </w:r>
      <w:r xml:space="preserve">
        <w:t> </w:t>
      </w:r>
      <w:r>
        <w:t xml:space="preserve">APPLICATION FOR EXEMPTION.  (a)  To receive an exemption, a person claiming the exemption, other than an exemption authorized by Section 11.11, 11.12, 11.14, 11.141, 11.145, 11.146, 11.15, 11.16, 11.161, or 11.25, must apply for the exemption. To apply for an exemption, a person must file an exemption application form with the chief appraiser for each appraisal district in which the property subject to the claimed exemption has situs.</w:t>
      </w:r>
    </w:p>
    <w:p w:rsidR="003F3435" w:rsidRDefault="0032493E">
      <w:pPr>
        <w:spacing w:line="480" w:lineRule="auto"/>
        <w:ind w:firstLine="720"/>
        <w:jc w:val="both"/>
      </w:pPr>
      <w:r>
        <w:t xml:space="preserve">(b)</w:t>
      </w:r>
      <w:r xml:space="preserve">
        <w:t> </w:t>
      </w:r>
      <w:r xml:space="preserve">
        <w:t> </w:t>
      </w:r>
      <w:r>
        <w:t xml:space="preserve">Except as provided by Subsection (c) and by Sections 11.184 and 11.437, a person required to apply for an exemption must apply each year the person claims entitlement to the exemption.</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 3.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