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88R10087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suspension of a public school student for engaging in certain conduct against an employee or volunteer of a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37.005, Education Code, is amended by adding Subsections (a-1) and (a-2)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or other appropriate administrator shall suspend a student who engages in conduct on or off school property against any employee or volunteer in retaliation for or as a result of the person's employment or association with a school district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the elements of an offense under Section 22.01(a)(1), Penal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otherwise deliberately violent and threatens the health or safety of another.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apply to conduct described by Subsection (a-1).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