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88R11719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requirements regarding public school class size.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25.112, Education Code, is amended by amending Subsection (d) and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(g), on</w:t>
      </w:r>
      <w:r>
        <w:t xml:space="preserve"> [</w:t>
      </w:r>
      <w:r>
        <w:rPr>
          <w:strike/>
        </w:rPr>
        <w:t xml:space="preserve">On</w:t>
      </w:r>
      <w:r>
        <w:t xml:space="preserve">] application of a school district, the commissioner may except the district from the limit in Subsection (a) if the commissioner finds the limit works an undue hardship on the district. </w:t>
      </w:r>
      <w:r>
        <w:t xml:space="preserve"> </w:t>
      </w:r>
      <w:r>
        <w:t xml:space="preserve">An exception expires at the end of the school year for which it is granted.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not grant an exception to the limit under Subsection (a) if the district has been assigned  an overall performance rating of D or F under Section 39.054 for the preceding school year or for the most recent school year for which a performance rating was assigned.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