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3657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notaries public;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406.009(d),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"good cause" includes:</w:t>
      </w:r>
    </w:p>
    <w:p w:rsidR="003F3435" w:rsidRDefault="0032493E">
      <w:pPr>
        <w:spacing w:line="480" w:lineRule="auto"/>
        <w:ind w:firstLine="1440"/>
        <w:jc w:val="both"/>
      </w:pPr>
      <w:r>
        <w:t xml:space="preserve">(1)</w:t>
      </w:r>
      <w:r xml:space="preserve">
        <w:t> </w:t>
      </w:r>
      <w:r xml:space="preserve">
        <w:t> </w:t>
      </w:r>
      <w:r>
        <w:t xml:space="preserve">a false statement knowingly made in an application;</w:t>
      </w:r>
    </w:p>
    <w:p w:rsidR="003F3435" w:rsidRDefault="0032493E">
      <w:pPr>
        <w:spacing w:line="480" w:lineRule="auto"/>
        <w:ind w:firstLine="1440"/>
        <w:jc w:val="both"/>
      </w:pPr>
      <w:r>
        <w:t xml:space="preserve">(2)</w:t>
      </w:r>
      <w:r xml:space="preserve">
        <w:t> </w:t>
      </w:r>
      <w:r xml:space="preserve">
        <w:t> </w:t>
      </w:r>
      <w:r>
        <w:t xml:space="preserve">the failure to comply with Section 406.017;</w:t>
      </w:r>
    </w:p>
    <w:p w:rsidR="003F3435" w:rsidRDefault="0032493E">
      <w:pPr>
        <w:spacing w:line="480" w:lineRule="auto"/>
        <w:ind w:firstLine="1440"/>
        <w:jc w:val="both"/>
      </w:pPr>
      <w:r>
        <w:t xml:space="preserve">(3)</w:t>
      </w:r>
      <w:r xml:space="preserve">
        <w:t> </w:t>
      </w:r>
      <w:r xml:space="preserve">
        <w:t> </w:t>
      </w:r>
      <w:r>
        <w:t xml:space="preserve">a final conviction for a violation of a law concerning the regulation of the conduct of notaries public in this or another state;</w:t>
      </w:r>
    </w:p>
    <w:p w:rsidR="003F3435" w:rsidRDefault="0032493E">
      <w:pPr>
        <w:spacing w:line="480" w:lineRule="auto"/>
        <w:ind w:firstLine="1440"/>
        <w:jc w:val="both"/>
      </w:pPr>
      <w:r>
        <w:t xml:space="preserve">(4)</w:t>
      </w:r>
      <w:r xml:space="preserve">
        <w:t> </w:t>
      </w:r>
      <w:r xml:space="preserve">
        <w:t> </w:t>
      </w:r>
      <w:r>
        <w:t xml:space="preserve">the imposition on the notary public of an administrative, criminal, or civil penalty for a violation of a law or rule prescribing the duties of a notary public;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performing any notarization when the person for whom the notarization is performed did not personally appear before the notary at the time the notarization is executed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failure to maintain records under Section 406.014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406, Government Code, is amended by adding Section 406.0091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406.0091.</w:t>
      </w:r>
      <w:r>
        <w:rPr>
          <w:u w:val="single"/>
        </w:rPr>
        <w:t xml:space="preserve"> </w:t>
      </w:r>
      <w:r>
        <w:rPr>
          <w:u w:val="single"/>
        </w:rPr>
        <w:t xml:space="preserve"> </w:t>
      </w:r>
      <w:r>
        <w:rPr>
          <w:u w:val="single"/>
        </w:rPr>
        <w:t xml:space="preserve">OFFENSE OF NOTARIZATION FOR PERSON NOT PERSONALLY APPEARING.  (a) </w:t>
      </w:r>
      <w:r>
        <w:rPr>
          <w:u w:val="single"/>
        </w:rPr>
        <w:t xml:space="preserve"> </w:t>
      </w:r>
      <w:r>
        <w:rPr>
          <w:u w:val="single"/>
        </w:rPr>
        <w:t xml:space="preserve">A person commits an offense if, as a notary public, the person knowingly performs any notarization when the person for whom the notarization is performed did not personally appear before the notary public at the time the notarization is executed.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it is a felony of the third degree if the document being notarized involves the transfer of real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406.011,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notary public who has applied for reappointment must successfully complete the continuing education requirements established under Section 406.023 before being reappointed.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shall retain the records required by Subsection (a) until the 15th anniversary of the date of notarization.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406.023,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adopt rules necessary to establish continuing education requirements for reappointment as a notary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January 1, 2024, the secretary of state shall adopt rules necessary to implement the change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an application for a notary public reappointment submitted on or after January 1, 2024. </w:t>
      </w:r>
      <w:r>
        <w:t xml:space="preserve"> </w:t>
      </w:r>
      <w:r>
        <w:t xml:space="preserve">An application submitted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