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defense to prosecution for the offense of cruelty to nonlivestock animals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42.092(a), Penal Code, is amended by adding Subdivisions (9) and (10)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"Trap-Neuter-Return Program" means a nonlethal population control practice in which an animal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t>
      </w:r>
      <w:r>
        <w:rPr>
          <w:u w:val="single"/>
        </w:rPr>
        <w:t xml:space="preserve">rapped;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evaluated by a veterinarian;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unvaccinated, vaccinated by a veterinarian;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unsterilized, sterilized by a veterinarian;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marked by a veterinarian, whether by notching or tipping one ear or otherwise;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returned to the trap location.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"Veterinarian" shall have the same meaning as  set forth in Section 801.002,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42.092, Penal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It is a defense to prosecution under Subsection (b)(4) that the actor released or returned a stray or feral animal which is not a wild living creature pursuant to a Trap-Neuter-Return Program.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It is a defense to prosecution under Subsection (b)(4) that the actor released or returned a previously trapped wild living creature in accordance with Texas wildlife  laws and regulations.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