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88R11674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Bailes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3663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certain persons who enter school district property to display identification.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38.022, Education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school district may require a person who enters </w:t>
      </w:r>
      <w:r>
        <w:rPr>
          <w:u w:val="single"/>
        </w:rPr>
        <w:t xml:space="preserve">property under the district's control</w:t>
      </w:r>
      <w:r>
        <w:t xml:space="preserve"> [</w:t>
      </w:r>
      <w:r>
        <w:rPr>
          <w:strike/>
        </w:rPr>
        <w:t xml:space="preserve">a district campus</w:t>
      </w:r>
      <w:r>
        <w:t xml:space="preserve">] to display the person's driver's license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another form of identification containing the person's photograph issued by a governmental entity</w:t>
      </w:r>
      <w:r>
        <w:rPr>
          <w:u w:val="single"/>
        </w:rPr>
        <w:t xml:space="preserve">, or, if applicable, the person's district employee or student identification card. The person must provide the identification on request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may eject a person from district property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refuses or fails to provide on request identification described by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reasonably appears that the person has no legitimate reason to be on district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