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3665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advanced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w:t>
      </w:r>
      <w:r>
        <w:rPr>
          <w:u w:val="single"/>
        </w:rPr>
        <w:t xml:space="preserve">or has an emission rate that meets best available control technology requirements as determined by the commission</w:t>
      </w:r>
      <w:r>
        <w:t xml:space="preserv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90</w:t>
      </w:r>
      <w:r>
        <w:t xml:space="preserve"> [</w:t>
      </w:r>
      <w:r>
        <w:rPr>
          <w:strike/>
        </w:rPr>
        <w:t xml:space="preserve">50</w:t>
      </w:r>
      <w:r>
        <w:t xml:space="preserve">] percent of the carbon dioxide in the portion of the emissions stream from the facility that is associated with the project and sequesters that captured carbon dioxide by geologic storage or other means</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a facility that received a standard permit issued after January 1, 2020, but prior to the effective date of this Act, which includes carbon capture in its design and is capturing not less than 95 percent of the carbon dioxide in the emissions stream already permitted for carbon capture.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