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88R8379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3666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judicial review of certain permitting decisions made by the Texas Commission on Environmental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5.354, Water Code, is amended to read as follows:</w:t>
      </w:r>
    </w:p>
    <w:p w:rsidR="003F3435" w:rsidRDefault="0032493E">
      <w:pPr>
        <w:spacing w:line="480" w:lineRule="auto"/>
        <w:ind w:firstLine="720"/>
        <w:jc w:val="both"/>
      </w:pPr>
      <w:r>
        <w:t xml:space="preserve">Sec.</w:t>
      </w:r>
      <w:r xml:space="preserve">
        <w:t> </w:t>
      </w:r>
      <w:r>
        <w:t xml:space="preserve">5.354.</w:t>
      </w:r>
      <w:r xml:space="preserve">
        <w:t> </w:t>
      </w:r>
      <w:r xml:space="preserve">
        <w:t> </w:t>
      </w:r>
      <w:r>
        <w:t xml:space="preserve">VENUE.  </w:t>
      </w:r>
      <w:r>
        <w:rPr>
          <w:u w:val="single"/>
        </w:rPr>
        <w:t xml:space="preserve">(a)  Except as provided by Subsection (b), a</w:t>
      </w:r>
      <w:r>
        <w:t xml:space="preserve"> [</w:t>
      </w:r>
      <w:r>
        <w:rPr>
          <w:strike/>
        </w:rPr>
        <w:t xml:space="preserve">A</w:t>
      </w:r>
      <w:r>
        <w:t xml:space="preserve">] suit instituted under Section 5.351 or 5.352 [</w:t>
      </w:r>
      <w:r>
        <w:rPr>
          <w:strike/>
        </w:rPr>
        <w:t xml:space="preserve">of this code</w:t>
      </w:r>
      <w:r>
        <w:t xml:space="preserve">] must be brought in a district court in Travis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suit instituted under Section 5.351 that relates to the issuance of a permit under Chapter 26 must be brought in a county in which the permitted point of discharge of waste is located or proposed to be located.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I, Chapter 5, Water Code, is amended by adding Section 5.3541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5.3541.</w:t>
      </w:r>
      <w:r>
        <w:rPr>
          <w:u w:val="single"/>
        </w:rPr>
        <w:t xml:space="preserve"> </w:t>
      </w:r>
      <w:r>
        <w:rPr>
          <w:u w:val="single"/>
        </w:rPr>
        <w:t xml:space="preserve"> </w:t>
      </w:r>
      <w:r>
        <w:rPr>
          <w:u w:val="single"/>
        </w:rPr>
        <w:t xml:space="preserve">SCOPE OF JUDICIAL REVIEW OF CHAPTER 26 PERMIT.  (a)  This section applies only to a suit instituted under Section 5.351 that relates to the issuance of a permit under Chapter 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scope of review by the court is limited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argument brought before the commission during consideration of the ruling, order, decision, or other act that is the subject of the suit;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allegation of the commission's violation of this code or a commission rule committed during consideration of the ruling, order, decision, or other act that is the subject of the suit.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petition submitted under Section 5.351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citation to each specific section of the statutes and rules involved in the matter under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citation to the administrative record to support each allegation in the petition.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give deference to the actions of the commission consistent with applicable law and may find an action unlawful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 evidence supports the commission's action;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commission's action was not based on a permissible construction of the statute.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may not substitute its judgment for a judgment of the commission on water quality degradation.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suit instituted under Section 5.351, Water Code, on or after the effective date of this Act.  A suit instituted under Section 5.351, Water Code, before the effective date of this Act is governed by the law in effect at the time the suit was instituted,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