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88R14120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sale, distribution, or display of harmful material to a minor;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w:t>
      </w:r>
      <w:r>
        <w:rPr>
          <w:strike/>
        </w:rPr>
        <w:t xml:space="preserve">Class A misdemeanor unless it is committed under Subsection (b)(3) in which event it is a</w:t>
      </w:r>
      <w:r>
        <w:t xml:space="preserve">] felony of the third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