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88R2111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3676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rural dual credit pilot program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61.0765.</w:t>
      </w:r>
      <w:r>
        <w:rPr>
          <w:u w:val="single"/>
        </w:rPr>
        <w:t xml:space="preserve"> </w:t>
      </w:r>
      <w:r>
        <w:rPr>
          <w:u w:val="single"/>
        </w:rPr>
        <w:t xml:space="preserve"> </w:t>
      </w:r>
      <w:r>
        <w:rPr>
          <w:u w:val="single"/>
        </w:rPr>
        <w:t xml:space="preserve">RURAL DUAL CREDIT PILOT PROGRAM.  (a)  The board shall establish a pilot program under which the board awards grants to participating public junior colleges to provide financial assistance to educationally disadvantaged high school students for all or part of the cost of enrolling in dual credit courses at the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select not more than 10 public junior colleges in the small or medium public junior college peer group, as identified by the board, to participate in the pilot program. In selecting public junior colleges, the board shall, to the extent practicable, ensure that at least one public junior college from each region of the state is included.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public junior college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grant funds awarded under this section to provide financial assistance to eligible students for all or part of the cost of tuition and required fees for dual credit courses at the college;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with high schools that partner with the college to provide dual credit courses and elect to participate in the pilot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 eligible students regarding the pilot program and how those courses relate to postsecondary education and career paths;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eligible students in applying to enroll in those courses;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and report to the board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participation rates of eligible students in the pilot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outreach efforts regarding the pilot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eligible students receiving financial assistance under the pilot program who graduate from high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top 10 percent of the student's high school class;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a workforce certificate or credential.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is eligible to receive financial assistance under the pilot program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educationally disadvantaged, as defined by Section 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in a participating public or private high school, including a home school, in the service area of a participating public junior college;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completed less than 60 semester credit hours at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Funds provided to an eligible student under the pilot program must be used for the cost of tuition or required fees for dual credit courses at the participating public junior college.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or private high school, including a home school, that partners with a participating public junior college to provide dual credit courses and elects to participate in the pilot program must provide to students in grade nine or the equivalent information regarding dual credit opportunities and the funding available for dual credit courses under the pilot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2024, the board shall evaluate the effectiveness of the pilot program and report the results of the evaluation to the legislature. In evaluating the pilot program, the board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of participation of eligible students in dual credit courses;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dual credit semester credit hours or the equivalent attempted by eligible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eligible students who graduate from high school: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top 10 percent of the student's high school class;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a workforce certificate or credential;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pilot program should be expanded to all public junior colleges in the small and medium peer groups, as identified by the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establish the pilot program under Section 61.0765, Education Code, as added by this Act, as soon as practicable following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