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88R14181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dismissal of a criminal case by the attorney representing the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32.02, Code of Criminal Procedure, is amended to read as follows:</w:t>
      </w:r>
    </w:p>
    <w:p w:rsidR="003F3435" w:rsidRDefault="0032493E">
      <w:pPr>
        <w:spacing w:line="480" w:lineRule="auto"/>
        <w:ind w:firstLine="720"/>
        <w:jc w:val="both"/>
      </w:pPr>
      <w:r>
        <w:t xml:space="preserve">Art.</w:t>
      </w:r>
      <w:r xml:space="preserve">
        <w:t> </w:t>
      </w:r>
      <w:r>
        <w:t xml:space="preserve">32.02.</w:t>
      </w:r>
      <w:r xml:space="preserve">
        <w:t> </w:t>
      </w:r>
      <w:r xml:space="preserve">
        <w:t> </w:t>
      </w:r>
      <w:r>
        <w:t xml:space="preserve">DISMISSAL BY STATE'S ATTORNEY. </w:t>
      </w:r>
      <w:r>
        <w:t xml:space="preserve"> </w:t>
      </w:r>
      <w:r>
        <w:rPr>
          <w:u w:val="single"/>
        </w:rPr>
        <w:t xml:space="preserve">(a)</w:t>
      </w:r>
      <w:r>
        <w:t xml:space="preserve"> </w:t>
      </w:r>
      <w:r>
        <w:t xml:space="preserve"> </w:t>
      </w:r>
      <w:r>
        <w:t xml:space="preserve">The attorney representing the </w:t>
      </w:r>
      <w:r>
        <w:rPr>
          <w:u w:val="single"/>
        </w:rPr>
        <w:t xml:space="preserve">state</w:t>
      </w:r>
      <w:r>
        <w:t xml:space="preserve"> [</w:t>
      </w:r>
      <w:r>
        <w:rPr>
          <w:strike/>
        </w:rPr>
        <w:t xml:space="preserve">State</w:t>
      </w:r>
      <w:r>
        <w:t xml:space="preserve">] may, by permission of the court, dismiss a criminal action at any time upon filing a written statement with the papers in the case</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statement of dismissal filed under this article 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setting out his reasons for such dismissal, which shall</w:t>
      </w:r>
      <w:r>
        <w:t xml:space="preserve">] be incorporated in the judgment of dismissal</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out the attorney representing the state's specific reasons for the dismissal, including lack of evidence or actual innocence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specific reason for a dismissal set out under Subsection (b)(2) is the misconduct of a law enforcement officer, the attorney representing the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papers in the case any information relating to the misconduct;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the matter to the law enforcement agency employing the officer for internal review;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whether the filing of a criminal charge against the officer is appropriate or refer the matter to the appropriate attorney representing the state for that consideration.</w:t>
      </w:r>
    </w:p>
    <w:p w:rsidR="003F3435" w:rsidRDefault="0032493E">
      <w:pPr>
        <w:spacing w:line="480" w:lineRule="auto"/>
        <w:ind w:firstLine="720"/>
        <w:jc w:val="both"/>
      </w:pPr>
      <w:r>
        <w:rPr>
          <w:u w:val="single"/>
        </w:rPr>
        <w:t xml:space="preserve">(d)</w:t>
      </w:r>
      <w:r xml:space="preserve">
        <w:t> </w:t>
      </w:r>
      <w:r xml:space="preserve">
        <w:t> </w:t>
      </w:r>
      <w:r>
        <w:t xml:space="preserve">No case shall be dismissed </w:t>
      </w:r>
      <w:r>
        <w:rPr>
          <w:u w:val="single"/>
        </w:rPr>
        <w:t xml:space="preserve">under this article</w:t>
      </w:r>
      <w:r>
        <w:t xml:space="preserve"> without the consent of the presiding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dismissal of a criminal action that occurs on or after the effective date of this Act. </w:t>
      </w:r>
      <w:r>
        <w:t xml:space="preserve"> </w:t>
      </w:r>
      <w:r>
        <w:t xml:space="preserve">A dismissal that occurs before the effective date of this Act is governed by the law in effect on the date of the dismissal,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