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88R12194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public institutions of higher education provide certain information regarding certain women's health programs to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51.9198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51.9198.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INFORMATION REGARDING WOMEN'S HEALTH PROGRAMS.  (a)  In this section, "institution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fall semester of each academic year, an institution of higher education shall distribute by e-mail to each student enrolled at the institution information regarding women's health programs administered by the Health and Human Services Commission, including information about: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eligibility requirements for those programs;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enrollment procedures for those programs, including a link to the Health and Human Services Commission's Internet website that hosts that enrollment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51.9198, Education Code, as added by this Act, applies beginning with the 2023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