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88R1655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3691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certain property owned by a charitable organization that is engaged in providing housing and related facilities and services to persons who are at least 62 years of 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11.18(d), Tax Code, is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w:t>
      </w:r>
      <w:r>
        <w:rPr>
          <w:u w:val="single"/>
        </w:rPr>
        <w:t xml:space="preserve">or</w:t>
      </w:r>
      <w:r>
        <w:t xml:space="preserve"> [</w:t>
      </w:r>
      <w:r>
        <w:rPr>
          <w:strike/>
        </w:rPr>
        <w:t xml:space="preserve">,</w:t>
      </w:r>
      <w:r>
        <w:t xml:space="preserve">] dependent[</w:t>
      </w:r>
      <w:r>
        <w:rPr>
          <w:strike/>
        </w:rPr>
        <w:t xml:space="preserve">, or handicapped</w:t>
      </w:r>
      <w:r>
        <w:t xml:space="preserve">] children in need of residential care, </w:t>
      </w:r>
      <w:r>
        <w:rPr>
          <w:u w:val="single"/>
        </w:rPr>
        <w:t xml:space="preserve">children with disabilities in need of residential care,</w:t>
      </w:r>
      <w:r>
        <w:t xml:space="preserv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rPr>
          <w:u w:val="single"/>
        </w:rPr>
        <w:t xml:space="preserve">persons with disabilities</w:t>
      </w:r>
      <w:r>
        <w:t xml:space="preserve"> [</w:t>
      </w:r>
      <w:r>
        <w:rPr>
          <w:strike/>
        </w:rPr>
        <w:t xml:space="preserve">the handicapped</w:t>
      </w:r>
      <w:r>
        <w:t xml:space="preserve">],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without regard to the residents' ability to pay;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an organization described by Section 11.1802;</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w:t>
      </w:r>
      <w:r>
        <w:rPr>
          <w:strike/>
        </w:rPr>
        <w:t xml:space="preserve">handicapped</w:t>
      </w:r>
      <w:r>
        <w:t xml:space="preserve">] individuals </w:t>
      </w:r>
      <w:r>
        <w:rPr>
          <w:u w:val="single"/>
        </w:rPr>
        <w:t xml:space="preserve">with disabilities</w:t>
      </w:r>
      <w:r>
        <w:t xml:space="preserve">,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 an organization described by Section 11.1802;</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or</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11, Tax Code, is amended by adding Section 11.1802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11.1802.</w:t>
      </w:r>
      <w:r>
        <w:rPr>
          <w:u w:val="single"/>
        </w:rPr>
        <w:t xml:space="preserve"> </w:t>
      </w:r>
      <w:r>
        <w:rPr>
          <w:u w:val="single"/>
        </w:rPr>
        <w:t xml:space="preserve"> </w:t>
      </w:r>
      <w:r>
        <w:rPr>
          <w:u w:val="single"/>
        </w:rPr>
        <w:t xml:space="preserve">REQUIREMENTS FOR CERTAIN CHARITABLE ORGANIZATIONS PROVIDING HOUSING AND SERVICES TO THE ELDERLY.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"Charitable housing and services" means the following provided by a charitable organization to a person 62 years of age or older in financial need: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housing, including as an independent living facility, assisted living facility, or nursing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service designed to meet the unique needs of a person 62 years of age or older,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independent living services;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assisted living services;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nursing facility services;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social services;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health services, including subsidized health services;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services provided through a government-sponsored program, including through Medicaid or another federal, state, or local indigent health care program based on financial need;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educational services; and</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donations.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"Net resident revenue" means a charitable organization's total revenue from providing housing and services to residents of a facility operated by the organization who are 62 years of age or older, less all allowances and discounts on residents' accounts,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debts that are in default;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contractual adjustments;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teaching allowances;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policy discounts;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administrative adjustments;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deductions from revenue.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"Very low-income" has the meaning assigned by 12 U.S.C. Section 1701q(k)(8).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qualify as a charitable organization under Section 11.18(d)(13)(B) or (19)(C), an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 (c), provide charitable housing and services in an unreimbursed amount that is not less than four percent of the charitable organization's net resident revenue;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located in a county with a population of less than 58,000 in which the entire county or the population of the entire county has been designated a health professionals shortage area;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operate a housing development restricted to very low-income persons who are 62 years of age or 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charitable organization described by Subsection (b)(1) of this section that qualified for an exemption under Section 11.18(d)(13)(B) or (19)(C) in the preceding tax year and otherwise qualifies for the exemption in the current tax year is entitled to the exemption if the organization demonstrates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reduction in the amount of charitable housing and services prescribed by Subsection (b)(1) is necessary: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maintain financial reserves at a level required by a debt obligation;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prevent the organization from endangering its ability to continue operating;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response to a natural or other disaster;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(e), through unintended miscalculation, the organization failed in the preceding tax year to provide charitable housing and services in the amount prescribed by Subsection (b)(1).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(e), a charitable organization that failed to provide charitable housing and services in the preceding tax year in the amount prescribed by Subsection (b)(1) of this section as described by Subsection (c)(2) of this section is entitled to an exemption under Section 11.18(d)(13)(B) or (19)(C) for the current tax year, but not for more than one tax year in each five tax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charitable organization to which Subsection (d) applies is not entitled to an exemption under Section 11.18(d)(13)(B) or (19)(C) in the tax year following the current tax year unless the organization in the current tax year provides charitable housing and services in an amount at least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prescribed by Subsection (b)(1) for the current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for the preceding tax year by which the organization failed to meet the requirement prescribed by Subsection (b)(1).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charitable organization that fails to satisfy the requirements prescribed by Subsection (e) for the current tax year is liable for the amount of the tax, plus penalties and interest, that would have otherwise been imposed for both the preceding and current tax years, calculated as if the taxes were delinquent on February 1 of the tax year following the tax year for which the tax would otherwise have been imposed.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