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88R25450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w:t>
      </w:r>
      <w:r>
        <w:t xml:space="preserve">use of purchasers or owners of lots fronting on or adjacent to the streets, alleys, squares, parks, or other parts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232.0025(a) and (i),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of </w:t>
      </w:r>
      <w:r>
        <w:rPr>
          <w:u w:val="single"/>
        </w:rPr>
        <w:t xml:space="preserve">all</w:t>
      </w:r>
      <w:r>
        <w:t xml:space="preserve"> [</w:t>
      </w:r>
      <w:r>
        <w:rPr>
          <w:strike/>
        </w:rPr>
        <w:t xml:space="preserve">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 xml:space="preserve">all</w:t>
      </w:r>
      <w:r>
        <w:t xml:space="preserve"> [</w:t>
      </w:r>
      <w:r>
        <w:rPr>
          <w:strike/>
        </w:rPr>
        <w:t xml:space="preserve">the</w:t>
      </w:r>
      <w:r>
        <w:t xml:space="preserve">] documents and other information on the </w:t>
      </w:r>
      <w:r>
        <w:rPr>
          <w:u w:val="single"/>
        </w:rPr>
        <w:t xml:space="preserve">written</w:t>
      </w:r>
      <w:r>
        <w:t xml:space="preserve"> list is considered complete. </w:t>
      </w:r>
      <w:r>
        <w:t xml:space="preserve"> </w:t>
      </w:r>
      <w:r>
        <w:rPr>
          <w:u w:val="single"/>
        </w:rPr>
        <w:t xml:space="preserve">The commissioners court shall post and continuously maintain the most current version of the list on the county's Internet website.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prevailing party in an action filed under Subdivision (3) may recover reasonable attorney's fees and court costs incurred in the action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232.0033,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but not later than January 1, 2024, each county shall adopt and publish the list described by Section 232.0025,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plat application submitted on or after the effective date of this Act. </w:t>
      </w:r>
      <w:r>
        <w:t xml:space="preserve"> </w:t>
      </w:r>
      <w:r>
        <w:t xml:space="preserve">A plat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