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3698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Jurisprudence;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expanding access to the protective order registry and the inclusion of certain information regarding a person who is the subject of a protective order in that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72.154(a),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Subject to Subsections (c) and (d) and Section 72.158, the office shall establish and maintain the registry in a manner that allows a member of the public, free of charge, to electronically search for and receive publicly accessible information contained in the registry regarding each protective order issued in this state. </w:t>
      </w:r>
      <w:r>
        <w:t xml:space="preserve"> </w:t>
      </w:r>
      <w:r>
        <w:t xml:space="preserve">The registry must be searchable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county of issuance;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name of a person who is the subject of the protective order;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any known common misspellings of the name of a person who is the subject of the protective order;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known aliases of a person who is the subject of the protective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the birth year of a person who is the subject of the protective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72.155,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72.155.</w:t>
      </w:r>
      <w:r xml:space="preserve">
        <w:t> </w:t>
      </w:r>
      <w:r xml:space="preserve">
        <w:t> </w:t>
      </w:r>
      <w:r>
        <w:t xml:space="preserve">RESTRICTED ACCESS TO PROTECTIVE ORDER REGISTRY. </w:t>
      </w:r>
      <w:r>
        <w:t xml:space="preserve"> </w:t>
      </w:r>
      <w:r>
        <w:t xml:space="preserve">(a) </w:t>
      </w:r>
      <w:r>
        <w:t xml:space="preserve"> </w:t>
      </w:r>
      <w:r>
        <w:t xml:space="preserve">The registry must include a copy of each application for a protective order filed in this state and a copy of each protective order issued in this state, including an expired order, or a vacated order other than an order that was vacated as the result of an appeal or bill of review from a district or county court. </w:t>
      </w:r>
      <w:r>
        <w:t xml:space="preserve"> </w:t>
      </w:r>
      <w:r>
        <w:t xml:space="preserve">Only an authorized user, the attorney general, a district attorney, a criminal district attorney, a county attorney, a municipal attorney, </w:t>
      </w:r>
      <w:r>
        <w:rPr>
          <w:u w:val="single"/>
        </w:rPr>
        <w:t xml:space="preserve">a magistrate,</w:t>
      </w:r>
      <w:r>
        <w:t xml:space="preserve"> or a peace officer may access that information under the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office shall ensure that an authorized user, the attorney general, a district attorney, a criminal district attorney, a county attorney, a municipal attorney, </w:t>
      </w:r>
      <w:r>
        <w:rPr>
          <w:u w:val="single"/>
        </w:rPr>
        <w:t xml:space="preserve">a magistrate,</w:t>
      </w:r>
      <w:r>
        <w:t xml:space="preserve"> </w:t>
      </w:r>
      <w:r>
        <w:t xml:space="preserve">or a peace officer is able to search for and receive a copy of a filed application for a protective order or a copy of an issued protective order through the registry's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