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88R11357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3702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 of American Law Institute publications on actions governed by the laws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5.001, Civil Practice and Remedies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in any action governed by the laws of this state concerning rights and obligations under the law, a publication by the American Law Institute, including a restatement or model code, may not be considered to represent the laws of this state and may not be wholly or partly relied on by a court for a ruling on a motion or a judgment if the publication in its final form was published after December 31, 1999.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a provision in a publication by the American Law Institute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appeared in its exact form in a publication of the American Law Institute published in its final form before January 1,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identical to or affirmatively adopted by a law enacted by the legislature;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identical to the common law of this state without reference to any publication published after December 31, 1999.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5.001(c) and (d), Civil Practice and Remedies Code, as added by this Act, apply only to an action pending on or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