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88R11290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repealing the Texas Medical Child Abuse Resources and Education System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261.3017(2), Family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F, Chapter 1001,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