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3710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advertisement of prices by persons selling motor fuel.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Transparency at the Pump Act of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12, Business &amp; Commerce Code, is amended by adding Chapter 610 to read as follows:</w:t>
      </w:r>
    </w:p>
    <w:p w:rsidR="003F3435" w:rsidRDefault="0032493E">
      <w:pPr>
        <w:spacing w:line="480" w:lineRule="auto"/>
        <w:jc w:val="center"/>
      </w:pPr>
      <w:r>
        <w:rPr>
          <w:u w:val="single"/>
        </w:rPr>
        <w:t xml:space="preserve">CHAPTER 610. TRANSPARENCY IN MOTOR FUEL PRICING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"Merchant" means a person whose business includes the sale of motor fuel through motor fuel dispensers to retail customers.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fuel" has the meaning assigned by Section 162.001, Tax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"Credit card" means an identification card, plate, coupon, book, or number or any other device authorizing a designated person or bearer to obtain property or service on credit.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"Debit card" means an identification card, plate, coupon, book, or number or any other device authorizing a designated person or bearer to communicate a request to an unmanned teller machine or a customer convenience terminal or to obtain property or services by debit to an account at a financial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610.002.</w:t>
      </w:r>
      <w:r>
        <w:rPr>
          <w:u w:val="single"/>
        </w:rPr>
        <w:t xml:space="preserve"> </w:t>
      </w:r>
      <w:r>
        <w:rPr>
          <w:u w:val="single"/>
        </w:rPr>
        <w:t xml:space="preserve"> </w:t>
      </w:r>
      <w:r>
        <w:rPr>
          <w:u w:val="single"/>
        </w:rPr>
        <w:t xml:space="preserve">MOTOR FUEL PRICE DISPLAY REQUIREMENTS.  (a)  A merchant shall display the price of the motor fuel mixtures sold by the merchant with a prominent 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motor fuel pump;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roadside adjacent to the merchant's premises.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merchant shall visibly differentiate the price of the motor fuel mixtures sold by the merchant to a retail customer paying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cash, a debit card, or a gift card;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merchant shall visibly display on the motor fuel pump any difference between the price of the motor fuel mixture sold by the merchant to a retail customer paying with cash and the price a retail customer paying with a debit card, gift card, or credit card would pay.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that sells more than one grade of a certain motor fuel may display the price of only the lowest grade of each motor fuel sold.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610.003.</w:t>
      </w:r>
      <w:r>
        <w:rPr>
          <w:u w:val="single"/>
        </w:rPr>
        <w:t xml:space="preserve"> </w:t>
      </w:r>
      <w:r>
        <w:rPr>
          <w:u w:val="single"/>
        </w:rPr>
        <w:t xml:space="preserve"> </w:t>
      </w:r>
      <w:r>
        <w:rPr>
          <w:u w:val="single"/>
        </w:rPr>
        <w:t xml:space="preserve">VIOLATION OF CHAPTER; DECEPTIVE TRADE PRACTICE. A violation of this chapter is a deceptive trade practice under Subchapter B, Chapter 17, and is actionable under that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advertisement or sale of motor fuel that takes place on or after April 1, 2024. An advertisement or sale of motor fuel that takes place before April 1, 2024, is governed by the law in effect on the date the advertisement or sale of motor fuel took place,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