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Buckley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3716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authorization of certain adult high school charter school programs.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G, Chapter 12, Education Code, is amended by adding Section 12.2551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12.2551.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ALTERNATIVE AUTHORIZATION. </w:t>
      </w:r>
      <w:r>
        <w:rPr>
          <w:u w:val="single"/>
        </w:rPr>
        <w:t xml:space="preserve"> </w:t>
      </w:r>
      <w:r>
        <w:rPr>
          <w:u w:val="single"/>
        </w:rPr>
        <w:t xml:space="preserve">(a)  Notwithstanding any other law and in addition to the other permissible methods for establishing a charter or campus under this chapter, the commissioner shall, on the basis of an application submitted, grant a charter under the program to the entities described by Subsection (b) to provide an adult education program for individuals described by Section 12.258 to successfully complete: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high school program that can lead to a diploma;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career and technology education courses that can lead to industry certification.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following entities are eligible to submit an application under Subsection (a):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of trustees of a school district or the governing body of a home-rule school district that has entered into a contract under Section 11.157 with a nonprofit entity described by Section 12.256 to operate the program;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public junior college or public senior college or university, as those terms are defined by Section 61.003, that has entered into a contract with a nonprofit entity described by Section 12.256 to operate the program;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governmental entity that has entered into a contract with a nonprofit entity described by Section 12.256 to operate the program.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provisions of this chapter, including provisions related to assessment, accountability, and funding, govern a program authorized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provisions of Section 12.255 do not apply to a charter granted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members elected to each house, as provided by Section 39, Article III, Texas Constitution.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3716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