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2023S0155-T  02/15/23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Lozano</w:t>
      </w:r>
      <w:r xml:space="preserve">
        <w:tab wTab="150" tlc="none" cTlc="0"/>
      </w:r>
      <w:r>
        <w:t xml:space="preserve">H.B.</w:t>
      </w:r>
      <w:r xml:space="preserve">
        <w:t> </w:t>
      </w:r>
      <w:r>
        <w:t xml:space="preserve">No.</w:t>
      </w:r>
      <w:r xml:space="preserve">
        <w:t> </w:t>
      </w:r>
      <w:r>
        <w:t xml:space="preserve">3719</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prohibition of face covering mandates by this state and political subdivisions of this state in response to the COVID-19 pandemic; providing exceptions.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H, Chapter 418, Government Code, is amended by adding Section 418.196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418.196.</w:t>
      </w:r>
      <w:r>
        <w:rPr>
          <w:u w:val="single"/>
        </w:rPr>
        <w:t xml:space="preserve"> </w:t>
      </w:r>
      <w:r>
        <w:rPr>
          <w:u w:val="single"/>
        </w:rPr>
        <w:t xml:space="preserve"> </w:t>
      </w:r>
      <w:r>
        <w:rPr>
          <w:u w:val="single"/>
        </w:rPr>
        <w:t xml:space="preserve">LIMITATION ON AUTHORITY OF GOVERNMENTAL ENTITY TO MANDATE CERTAIN FACE COVERINGS.  (a)  In this section, "governmental entity" 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municipality, county, school district, public health authority, or other political subdivision of this state;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officer or employee of this state or a political subdivision of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and except as provided by Subsection (c), a governmental entity may not adopt or enforce an ordinance, order, or other measure that requires an individual to wear a face covering in response to the COVID-19 pandemic.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limitation prescribed by Subsection (b) does not apply to an ordinance, order, or other measure that relates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state supported living center, as defined by Section 531.002, Health and Safety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hospital that is owned or operated by this state, an agency of this state, or the federal government;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subject to any applicable guidance provided by the Texas Commission on Jail Standards, a facility operated by the Texas Department of Criminal Justice or the Texas Juvenile Justice Department or a municipal or county jail.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3719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