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88R13288 KSD-F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3723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Rural Workforce Training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302, Labor Code, is amended by adding Section 302.0039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302.0039.</w:t>
      </w:r>
      <w:r>
        <w:rPr>
          <w:u w:val="single"/>
        </w:rPr>
        <w:t xml:space="preserve"> </w:t>
      </w:r>
      <w:r>
        <w:rPr>
          <w:u w:val="single"/>
        </w:rPr>
        <w:t xml:space="preserve"> </w:t>
      </w:r>
      <w:r>
        <w:rPr>
          <w:u w:val="single"/>
        </w:rPr>
        <w:t xml:space="preserve">RURAL WORKFORCE TRAINING GRANT PROGRAM.  (a) </w:t>
      </w:r>
      <w:r>
        <w:rPr>
          <w:u w:val="single"/>
        </w:rPr>
        <w:t xml:space="preserve"> </w:t>
      </w:r>
      <w:r>
        <w:rPr>
          <w:u w:val="single"/>
        </w:rPr>
        <w:t xml:space="preserve">In this section, "program" means the Rural Workforce Training Grant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and administer the Rural Workforce Training Grant Program for the purpose of providing targeted funding for job-specific workforce training and related services to strengthen the skills, resources, and career opportunities of the rural workforce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Under the program, the commission shall award grants to public, private, or nonprofit entities, including business associations, political subdivisions, local workforce development boards, and educational institutions,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on-the-job training, apprenticeships, workforce education courses, and other job-specific workforce development activities in a county with a population of less than 200,000;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apply to the commission in the manner provided by commission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Grant money awarded to an entity under the program may be used only to cover costs associated with training materials, instructors' fees, participant wraparound expenses, facility fees, administrative costs, and outreach, mentoring, and recruiting costs for the training, apprenticeship, course, or other activity for which the money is awarded.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require a grant recipient to provide periodic reports regarding the recipient's use of grant money received under the program and related training participant outcomes.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solicit and accept gifts, grants, and donations from any public or private source for purposes of the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for the administration of the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year, the commission shall submit to the governor, the lieutenant governor, the speaker of the house of representatives, and the standing committee of each house of the legislature with primary jurisdiction over workforce development matters a report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grants awarded under the program during the most recent state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effectiveness.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Workforce Commission shall adopt the rules required under Section 302.0039(g), Labor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