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88R480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3729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disclosure under the public information law of certain evidence of a crime that resulted in the death of a person.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552.108, Government Code, is amended by adding Subsections (d), (e), (f), (g), and (h)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other law, a prosecutor may permit a person to view the following evidence of a crime that resulted in the death of a person and that occurred in the prosecutor's jurisdiction: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medical examiner's report, if the person viewing the report is a family member of the person who is the subject of the report and the person who is the subject of the report was a victim of the crime;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video evidence of the crime, if the person viewing the video is a victim of the crime or a family member of a victim of the crime.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permitted to view a medical examiner's report or video evidence under Subsection (d) may not duplicate, record, capture, or otherwise memorialize the information.  A prosecutor may require a person to sign a confidentiality agreement before permitting the person to view the information.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permitted viewing of a medical examiner's report or video evidence under Subsection (d) is not a voluntary disclosure of information for purposes of Section 552.007(b).  A governmental body, by providing information under Subsection (d) that is confidential or otherwise excepted from required disclosure under law, does not waive or affect the confidentiality of the information for purposes of state or federal law or waive the right to assert exceptions to required disclosure of the information in the future.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Subsection (d) does not affect: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right of a person to obtain a medical examiner's report or video evidence of a crime from a governmental body under other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procedures under which the information is obtained under other law;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use that may be made of the information obtained under other law.</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"Family member" means a person related to a victim of a crime within the first degree of consanguinity or affinity.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 examiner's report" means a report and the contents of such a report created by a medical examiner under Article 49.25, Code of Criminal Procedure, including an autopsy report and toxicology report.  The term does not include a photograph or medical image contained in a report.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"Victim" means an individual who suffered personal injury or death as a result of criminal conduct.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crime that occurred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