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88R11677 GCB-D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Guerra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3733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fentanyl awareness program in public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G, Chapter 38, Education Code, is amended by adding Section 38.354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38.354.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FENTANYL AWARENESS PROGRAM.  (a) </w:t>
      </w:r>
      <w:r>
        <w:rPr>
          <w:u w:val="single"/>
        </w:rPr>
        <w:t xml:space="preserve"> </w:t>
      </w:r>
      <w:r>
        <w:rPr>
          <w:u w:val="single"/>
        </w:rPr>
        <w:t xml:space="preserve">Each school district and open-enrollment charter school shall adopt a fentanyl awareness program to educate students, parents, and school personnel regarding the dangers posed by the use of the drug fentanyl. </w:t>
      </w:r>
      <w:r>
        <w:rPr>
          <w:u w:val="single"/>
        </w:rPr>
        <w:t xml:space="preserve"> </w:t>
      </w:r>
      <w:r>
        <w:rPr>
          <w:u w:val="single"/>
        </w:rPr>
        <w:t xml:space="preserve">The district or school shall incorporate the applicable components of the program adopted under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students enrolled in elementary school, as part of the district's or school's physical education curriculum under Section 28.002(a)(2)(C) or through a program provided by a school nurse;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students enrolled in middle school, junior high school, or high school, as part of the district's or school's health curriculum under Section 28.002(a)(2)(B).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agency shall assist in the development of programs under this section by providing information and a list of available resources relating to the establishment of a fentanyl awareness program by a school district or open-enrollment charter school.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Notwithstanding the effective date of this Act, a school district or open-enrollment charter school is not required to adopt a fentanyl awareness program under Section 38.354, Education Code, as added by this Act, before August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3733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