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88R11676 GCB-D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Guerra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3734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opioid-related drug overdose response protocol and training on the administration of an opioid antagonist for public school personnel.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38, Education Code, is amended by adding Section 38.0301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38.0301.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OPIOID-RELATED DRUG OVERDOSE RESPONSE PROTOCOL.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"opioid antagonist" and "opioid-related drug overdose" have the meanings assigned by Section 483.101, Health and Safety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school district and open-enrollment charter school shall develop and annually make available a protocol for school employees to follow in the event a person at a campus of the district or school experiences what is reasonably believed to be an opioid-related drug overdose.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protocol adopted under this section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for information about the availability of opioid antagonists at each district or school campus;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that agency-approved training in the use of opioid antagonists is provided to any school employee who may be reasonably expected to administer an opioid antagonist to a person who is reasonably believed to be experiencing an opioid-related drug overdose at a district or school campus.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training required under Subsection (c)(2) may be provided as an online course.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3734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