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regulation of combative sports by the Texas Department of Licensing and Regulation and to immunity for ringside physicians assigned to combative sports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2052.254,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2052.254.</w:t>
      </w:r>
      <w:r xml:space="preserve">
        <w:t> </w:t>
      </w:r>
      <w:r xml:space="preserve">
        <w:t> </w:t>
      </w:r>
      <w:r>
        <w:t xml:space="preserve">ELIMINATION TOURNAMENTS. </w:t>
      </w:r>
      <w:r>
        <w:t xml:space="preserve"> </w:t>
      </w:r>
      <w:r>
        <w:rPr>
          <w:u w:val="single"/>
        </w:rPr>
        <w:t xml:space="preserve">Except as authorized by commission rule, an</w:t>
      </w:r>
      <w:r>
        <w:t xml:space="preserve"> </w:t>
      </w:r>
      <w:r>
        <w:t xml:space="preserve">[</w:t>
      </w:r>
      <w:r>
        <w:rPr>
          <w:strike/>
        </w:rPr>
        <w:t xml:space="preserve">An</w:t>
      </w:r>
      <w:r>
        <w:t xml:space="preserve">] elimination tournament may not be conducted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2052, Occupations Code, is amended by adding Section 2052.255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2052.255.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IMMUNITY FOR RINGSIDE PHYSICIANS.  A ringside physician is immune from civil liability arising from acts within the scope of the physician's responsibilities if the physician acted in good faith and without malice.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2052.255, Occupations Code, as added by this Act, applies only to an action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