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88R13141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for maintaining the qualification of land for appraisal for ad valorem tax purposes as qualified open-space 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23.521, Tax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chief appraiser may not require a landowner to file a report on the implementation of a written management plan described by Subsection (c) more than once during each five-year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